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57758-2020 i Årjängs kommun</w:t>
      </w:r>
    </w:p>
    <w:p>
      <w:r>
        <w:t>Detta dokument behandlar höga naturvärden i avverkningsanmälan A 57758-2020 i Årjängs kommun. Denna avverkningsanmälan inkom 2020-11-05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aspgelélav (VU), västlig njurlav (VU), lunglav (NT), talltita (NT, §4), dropptaggsvamp (S) och havstulpanlav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57758-2020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6586422, E 319389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Västlig njurlav (VU)</w:t>
      </w:r>
      <w:r>
        <w:t xml:space="preserve"> växer på mossiga lövträdstammar eller klippor i områden med hög luftfuktighet och förekommer huvudsakligen på lövträd, främst asp men ofta också på ask, sälg, rönn, ek och lönn. Den mest typiska miljön är halvöppen blandskog i bergskanter med gran och senvuxna aspar. Arten hotas av avverkning av asp och andra lövträd i blandskogar samt av utglesning av skog på eller i omedelbar närhet av växtplatsen. Nyetablering och spridning försvåras av att aspar i blandskogar ofta avverkas i samband med gallringar. Lämpliga miljöer nyskapas i mycket begränsad omfattning. Västlig njurlav är placerad högst upp i Skogsstyrelsens värdepyramid för bedömning av skog med höga naturvärden och har minskat med 25 (20–30) % under de senaste 50 åren. Sedan 2010 har minskningstakten ökat och överstiger gränsvärdet för Sårbar (VU) enligt A-kriteriet. (A3bc)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