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5979-2023 i Årjängs kommun</w:t>
      </w:r>
    </w:p>
    <w:p>
      <w:r>
        <w:t>Detta dokument behandlar höga naturvärden i avverkningsanmälan A 5979-2023 i Årjängs kommun. Denna avverkningsanmälan inkom 2023-02-07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brödtaggsvamp (VU), porslinsblå spindling (VU), grantaggsvamp (NT), svart taggsvamp (NT), fjällig taggsvamp s.str. (S), rödgul trumpetsvamp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5979-2023 karta.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6596707, E 318504 i SWEREF 99 TM.</w:t>
      </w:r>
    </w:p>
    <w:p>
      <w:r>
        <w:rPr>
          <w:b/>
        </w:rPr>
        <w:t xml:space="preserve">Brödtaggsvamp (VU) </w:t>
      </w:r>
      <w:r>
        <w:t>är en sällsynt ”toppart” som växer i äldre barrskogar med gran, gärna i fuktiga sänkor eller skogar med hög luftfuktighet.  Svampen har en säregen doft som liknats vid lakrits, kakor eller pomerans. Den ingår i ett åtgärdsprogram för hotade arter (ÅGP) och är placerad högst upp i Skogsstyrelsens värdepyramid för bedömning av skog med höga naturvärden. Arten missgynnas av skogsbruk och hotas av slutavverkning eftersom den huvudsakligen växer i äldre barrskogar. Brödtaggsvamp är globalt rödlistad som nära hotad (NT) vilket innebär att Sverige har ett internationellt ansvar för arten (IUCN, 2025; SLU Artdatabanken, 2024;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Porslinsblå spindling (VU)</w:t>
      </w:r>
      <w:r>
        <w:t xml:space="preserve"> är en mycket bra signalart på skyddsvärda kalkgranskogar där det föreligger långvarig grankontinuitet. Andelen äldre näringsrik granskog minskar i södra Sverige och därför fortsätter arten att minska. Det främsta hotet mot porslinsblå spindling är avverkning av de värdträd som den är helt beroende av. Den är placerad högst upp i Skogsstyrelsens värdepyramid för bedömning av skog med höga naturvärden och äldre granskogar där arten växer bör i möjligaste mån undantas från avverkning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