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och inom 22 meter från avverkningsanmälan finns fynd av 4 naturvårdsarter, varav 3 är fridlysta, 1 är typisk (T) och 1 är signalart (S): rödgul trumpetsvamp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