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25557-2019 i Årjängs kommun</w:t>
      </w:r>
    </w:p>
    <w:p>
      <w:r>
        <w:t>Detta dokument behandlar höga naturvärden i avverkningsanmälan A 25557-2019 i Årjängs kommun. Denna avverkningsanmälan inkom 2019-05-22 och omfattar 28,2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liten kandelabersvamp (CR), isabellporing (EN), gräddporing (VU), knärot (VU, §8), raggbock (VU), västlig njurlav (VU), barrpraktbagge (NT), garnlav (NT), hornvaxskinn (NT), kortskaftad ärgspik (NT), kådvaxskinn (NT), motaggsvamp (NT), nordtagging (NT), skrovellav (NT), talltita (NT, §4), tretåig hackspett (NT, §4), ullticka (NT), vedtrappmossa (NT), blodticka (S), bronshjon (S), bårdlav (S), dropptaggsvamp (S), dvärghäxört (S), fällmossa (S), gulnål (S), kattfotslav (S), korallblylav (S), mindre märgborre (S), plattlummer (S, §9), skuggblåslav (S) och vågbandad barkbock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821"/>
            <wp:docPr id="1" name="Picture 1"/>
            <wp:cNvGraphicFramePr>
              <a:graphicFrameLocks noChangeAspect="1"/>
            </wp:cNvGraphicFramePr>
            <a:graphic>
              <a:graphicData uri="http://schemas.openxmlformats.org/drawingml/2006/picture">
                <pic:pic>
                  <pic:nvPicPr>
                    <pic:cNvPr id="0" name="A 25557-2019 karta.png"/>
                    <pic:cNvPicPr/>
                  </pic:nvPicPr>
                  <pic:blipFill>
                    <a:blip r:embed="rId16"/>
                    <a:stretch>
                      <a:fillRect/>
                    </a:stretch>
                  </pic:blipFill>
                  <pic:spPr>
                    <a:xfrm>
                      <a:off x="0" y="0"/>
                      <a:ext cx="5486400" cy="285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6591386, E 317860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Isabellporing (EN) </w:t>
      </w:r>
      <w:r>
        <w:t>är en sällsynt och starkt hotad art som påträffas på starkt murken ved av gran och tall, sällan gråal. Arten förekommer företrädesvis i gammelskog och de flesta fynden är från mer eller mindre naturskogsartade barrskogar. Få kända lokaler gör att artens populationer är känsliga för decimering. På sikt är bristen på barrskogar med lång, kontinuerlig tillgång på lågor ett hot. Fragmenteringen av skogslandskapet minskar artens möjligheter till spridning. Nya förekomster belägna utanför naturreservat bör skyddas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3256437"/>
            <wp:docPr id="2" name="Picture 2"/>
            <wp:cNvGraphicFramePr>
              <a:graphicFrameLocks noChangeAspect="1"/>
            </wp:cNvGraphicFramePr>
            <a:graphic>
              <a:graphicData uri="http://schemas.openxmlformats.org/drawingml/2006/picture">
                <pic:pic>
                  <pic:nvPicPr>
                    <pic:cNvPr id="0" name="A 25557-2019 karta knärot.png"/>
                    <pic:cNvPicPr/>
                  </pic:nvPicPr>
                  <pic:blipFill>
                    <a:blip r:embed="rId17"/>
                    <a:stretch>
                      <a:fillRect/>
                    </a:stretch>
                  </pic:blipFill>
                  <pic:spPr>
                    <a:xfrm>
                      <a:off x="0" y="0"/>
                      <a:ext cx="5486400" cy="32564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6591386, E 317860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