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53611-2023 i Årjängs kommun</w:t>
      </w:r>
    </w:p>
    <w:p>
      <w:r>
        <w:t>Detta klagomål behandlar höga naturvärden i avverkningsanmälan A 53611-2023 i Årjängs kommun som inkom 2023-10-31 och omfattar 12,3 ha.</w:t>
      </w:r>
    </w:p>
    <w:p>
      <w:pPr>
        <w:pStyle w:val="Caption"/>
      </w:pPr>
      <w:r>
        <w:drawing>
          <wp:inline xmlns:a="http://schemas.openxmlformats.org/drawingml/2006/main" xmlns:pic="http://schemas.openxmlformats.org/drawingml/2006/picture">
            <wp:extent cx="4819175" cy="5724000"/>
            <wp:docPr id="1" name="Picture 1"/>
            <wp:cNvGraphicFramePr>
              <a:graphicFrameLocks noChangeAspect="1"/>
            </wp:cNvGraphicFramePr>
            <a:graphic>
              <a:graphicData uri="http://schemas.openxmlformats.org/drawingml/2006/picture">
                <pic:pic>
                  <pic:nvPicPr>
                    <pic:cNvPr id="0" name="A 53611-2023 karta.png"/>
                    <pic:cNvPicPr/>
                  </pic:nvPicPr>
                  <pic:blipFill>
                    <a:blip r:embed="rId16"/>
                    <a:stretch>
                      <a:fillRect/>
                    </a:stretch>
                  </pic:blipFill>
                  <pic:spPr>
                    <a:xfrm>
                      <a:off x="0" y="0"/>
                      <a:ext cx="4819175" cy="572400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6587922, E 349592 i SWEREF 99 TM.</w:t>
      </w:r>
    </w:p>
    <w:p>
      <w:r>
        <w:t>I och inom 14 meter från avverkningsanmälan finns fynd av 2 naturvårdsarter, varav 1 är fridlyst och 1 är signalart (S): purpurmylia (S) och smålom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Purpurmylia </w:t>
      </w:r>
      <w:r>
        <w:t>indikerar mycket hög och jämn fuktighet, både i substratet och i luften, samt kalkfattiga och fukthållande underlag. Förekomster i skog signalerar höga naturvärden. Arten kräver i låglandet äldre skog med riklig tillgång på grova lågor som fått ligga länge i skugga och i kontakt med fuktig mark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