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2551-2022 i Sunne kommun</w:t>
      </w:r>
    </w:p>
    <w:p>
      <w:r>
        <w:t>Denna tillsynsbegäran behandlar höga naturvärden i samrådsanmälan S 2551-2022 i Sunne kommun som inkom 2022-05-16 och omfattar 0,7 ha.</w:t>
      </w:r>
    </w:p>
    <w:p>
      <w:pPr>
        <w:pStyle w:val="Caption"/>
      </w:pPr>
      <w:r>
        <w:drawing>
          <wp:inline xmlns:a="http://schemas.openxmlformats.org/drawingml/2006/main" xmlns:pic="http://schemas.openxmlformats.org/drawingml/2006/picture">
            <wp:extent cx="5486400" cy="5096130"/>
            <wp:docPr id="1" name="Picture 1"/>
            <wp:cNvGraphicFramePr>
              <a:graphicFrameLocks noChangeAspect="1"/>
            </wp:cNvGraphicFramePr>
            <a:graphic>
              <a:graphicData uri="http://schemas.openxmlformats.org/drawingml/2006/picture">
                <pic:pic>
                  <pic:nvPicPr>
                    <pic:cNvPr id="0" name="S 2551-2022 karta.png"/>
                    <pic:cNvPicPr/>
                  </pic:nvPicPr>
                  <pic:blipFill>
                    <a:blip r:embed="rId16"/>
                    <a:stretch>
                      <a:fillRect/>
                    </a:stretch>
                  </pic:blipFill>
                  <pic:spPr>
                    <a:xfrm>
                      <a:off x="0" y="0"/>
                      <a:ext cx="5486400" cy="5096130"/>
                    </a:xfrm>
                    <a:prstGeom prst="rect"/>
                  </pic:spPr>
                </pic:pic>
              </a:graphicData>
            </a:graphic>
          </wp:inline>
        </w:drawing>
      </w:r>
    </w:p>
    <w:p>
      <w:pPr>
        <w:pStyle w:val="Caption"/>
        <w:spacing w:after="240"/>
      </w:pPr>
      <w:r>
        <w:t>Figur 1. Fyndplatser för naturvårdsarter i och inom 12 meter från samrådsanmälan. Markörer utan svart kant är placerade på fyndplatsen. Markörer med svart kant är placerade vid sidan av fyndplatsen och har ett svart streck som visar fyndplatsens exakta position. Kartans mittpunktskoordinat är N 6629390, E 397279 i SWEREF 99 TM.</w:t>
      </w:r>
    </w:p>
    <w:p>
      <w:r>
        <w:t>I och inom 12 meter från samrådsanmälan finns fynd av 7 naturvårdsarter, varav 7 är rödlistade och 4 är typiska (T): brödtaggsvamp (EN), sammetstaggsvamp (EN), gul taggsvamp (VU, T), kejsarskivling (VU), porslinsblå spindling (VU, T), blå slemspindling (NT, T) och dofttaggsvamp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Kejsarskivling (VU)</w:t>
      </w:r>
      <w:r>
        <w:t xml:space="preserve"> bildar mykorrhiza med tall, ibland även med gran och växer huvudsakligen på kalkrik mark i barrskog, framförallt mossig gammal granskog med inslag av tall. Arten är placerad högst upp i Skogsstyrelsens värdepyramid för bedömning av skog med höga naturvärden och hotas av slutavverkning, markberedning och en generell minskning av andelen gamla träd i våra skogar. Kejsarskivlingen är globalt rödlistad som nära hotad (NT) vilket innebär att Sverige har ett internationellt ansvar för arten (SLU Artdatabanken, 2024; IUCN, 2019; Nitare &amp; Skogsstyrelsen, 2019).</w:t>
      </w:r>
    </w:p>
    <w:p>
      <w:r>
        <w:rPr>
          <w:b/>
        </w:rPr>
        <w:t>Porslinsblå spindling (VU)</w:t>
      </w:r>
      <w:r>
        <w:t xml:space="preserve"> är en mycket bra signalart på skyddsvärda kalkgranskogar där det föreligger långvarig grankontinuitet. Andelen äldre näringsrik granskog minskar i södra Sverige och därför fortsätter arten att minska. Det främsta hotet mot porslinsblå spindling är avverkning av de värdträd som den är helt beroende av. Den är placerad högst upp i Skogsstyrelsens värdepyramid för bedömning av skog med höga naturvärden och äldre granskogar där arten växer bör i möjligaste mån undantas från avverkning. Porslinsblå spindling är typisk art för </w:t>
      </w:r>
      <w:r>
        <w:rPr>
          <w:i/>
        </w:rPr>
        <w:t>9050 Näringsrik granskog</w:t>
      </w:r>
      <w:r>
        <w:t xml:space="preserve"> (SLU Artdatabanken, 2024; Nitare &amp; Skogsstyrelsen, 2019).</w:t>
      </w:r>
    </w:p>
    <w:p>
      <w:r>
        <w:rPr>
          <w:b/>
        </w:rPr>
        <w:t>Blå slemspindling (NT)</w:t>
      </w:r>
      <w:r>
        <w:t xml:space="preserve"> är en mykorrhizasvamp som förekommer i kalkgranskogar med välutvecklade mossmattor och ett örtrikt fältskikt. Den växer även på rik mark i ädellövskog under bok, ek. lind och hassel. Växtplatserna har ofta hög luftfuktighet och ligger gärna i anslutning till en bäck eller ett fuktdråg där marken inte blir helt uttorkad under sommaren. Arten signalerar höga naturvärden och växer ofta tillsammans med många andra ovanliga och rödlistade arter. Den totala populationen i landet bedöms ha minskat och väntas fortsätta minska, främst till följd av avverkning av kalkbarrskogar. Blå slemspindling är typisk art för </w:t>
      </w:r>
      <w:r>
        <w:rPr>
          <w:i/>
        </w:rPr>
        <w:t xml:space="preserve">9050 Näringsrik granskog </w:t>
      </w:r>
      <w:r>
        <w:t>(SLU Artdatabanken, 2026;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