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44469-2022 i Karlstads kommun</w:t>
      </w:r>
    </w:p>
    <w:p>
      <w:r>
        <w:t>Denna tillsynsbegäran behandlar höga naturvärden i avverkningsanmälan A 44469-2022 i Karlstads kommun som inkom 2022-10-04 och omfattar 9,3 ha.</w:t>
      </w:r>
    </w:p>
    <w:p>
      <w:pPr>
        <w:pStyle w:val="Caption"/>
      </w:pPr>
      <w:r>
        <w:drawing>
          <wp:inline xmlns:a="http://schemas.openxmlformats.org/drawingml/2006/main" xmlns:pic="http://schemas.openxmlformats.org/drawingml/2006/picture">
            <wp:extent cx="5486400" cy="5397788"/>
            <wp:docPr id="1" name="Picture 1"/>
            <wp:cNvGraphicFramePr>
              <a:graphicFrameLocks noChangeAspect="1"/>
            </wp:cNvGraphicFramePr>
            <a:graphic>
              <a:graphicData uri="http://schemas.openxmlformats.org/drawingml/2006/picture">
                <pic:pic>
                  <pic:nvPicPr>
                    <pic:cNvPr id="0" name="A 44469-2022 karta.png"/>
                    <pic:cNvPicPr/>
                  </pic:nvPicPr>
                  <pic:blipFill>
                    <a:blip r:embed="rId16"/>
                    <a:stretch>
                      <a:fillRect/>
                    </a:stretch>
                  </pic:blipFill>
                  <pic:spPr>
                    <a:xfrm>
                      <a:off x="0" y="0"/>
                      <a:ext cx="5486400" cy="53977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6614381, E 425625 i SWEREF 99 TM.</w:t>
      </w:r>
    </w:p>
    <w:p>
      <w:r>
        <w:t>I avverkningsanmälan finns fynd av 8 naturvårdsarter, varav 5 är rödlistade, 1 är fridlyst, 2 är typiska (T) och 2 är signalarter (S): grangråticka (VU, T), taggfingersvamp (VU), dofttaggsvamp (NT, T), fjällig taggsvamp s.str. (NT), skarp dropptaggsvamp (NT), rödgul trumpetsvamp (S), zontaggsvamp (S) och äkta lopplummer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 xml:space="preserve">Taggfingersvamp (VU) </w:t>
      </w:r>
      <w:r>
        <w:t>är knuten till granskogar med långvarig kontinuitet och bildar mykorrhiza med gran på rikare mark. Den totala populationen i landet bedöms ha minskat kraftigt och fortgående att minska, huvudsakligen p.g.a. att arealen örtrik äldre granskog har minskat de senaste 50 åren. Den hotas främst av skogsavverkning och tycks försvinna efter slutavverkning, markberedning och plantering och det saknas uppgifter om fynd i planterad skog eller sekundär granskog uppkommen på kalmark. Taggfingersvamp är placerad högst upp i Skogsstyrelsens värdepyramid för bedömning av skog med höga naturvärden. Områdesskydd är en viktig åtgärd för att bevara artens förekomster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