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31896-2021 i Karlstads kommun</w:t>
      </w:r>
    </w:p>
    <w:p>
      <w:r>
        <w:t>Detta dokument behandlar höga naturvärden i avverkningsanmälan A 31896-2021 i Karlstads kommun. Denna avverkningsanmälan inkom 2021-06-23 00:00:00 och omfattar 3,3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vågticka (VU), brun gräsfjäril (NT, §4a) och vågbandad barkbock (S).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830792"/>
            <wp:docPr id="1" name="Picture 1"/>
            <wp:cNvGraphicFramePr>
              <a:graphicFrameLocks noChangeAspect="1"/>
            </wp:cNvGraphicFramePr>
            <a:graphic>
              <a:graphicData uri="http://schemas.openxmlformats.org/drawingml/2006/picture">
                <pic:pic>
                  <pic:nvPicPr>
                    <pic:cNvPr id="0" name="A 31896-2021 karta.png"/>
                    <pic:cNvPicPr/>
                  </pic:nvPicPr>
                  <pic:blipFill>
                    <a:blip r:embed="rId16"/>
                    <a:stretch>
                      <a:fillRect/>
                    </a:stretch>
                  </pic:blipFill>
                  <pic:spPr>
                    <a:xfrm>
                      <a:off x="0" y="0"/>
                      <a:ext cx="5486400" cy="683079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6587440, E 418438 i SWEREF 99 TM.</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 xml:space="preserve">Vågticka (NT) </w:t>
      </w:r>
      <w:r>
        <w:t>förekommer främst i rikare kontinuitetsskogar med mycket död ved. Den växer på grova lågor och stubbar av gran och asp, men ibland även på andra trädslag.  Arten missgynnas av slutavverkning av äldre barrskog med lång skoglig kontinuitet, men även av skogliga åtgärder som t.ex. markberedning som förstör lågor. Minskningstakten för den svenska populationen bedöms vara nära gränsvärdet för sårbar (VU) (SLU Artdatabanken, 2026).</w:t>
      </w:r>
    </w:p>
    <w:p>
      <w:pPr>
        <w:pStyle w:val="Heading1"/>
      </w:pPr>
      <w:r>
        <w:t>Fridlysta arter</w:t>
      </w:r>
    </w:p>
    <w:p>
      <w:r>
        <w:t>Följande fridlysta arter har sina livsmiljöer och växtplatser i den avverkningsanmälda skogen: brun gräsfjäril (NT, §4a).</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0.01 ha med buffertzonerna och får av detta skäl inte avverkas.</w:t>
      </w:r>
    </w:p>
    <w:p>
      <w:pPr>
        <w:pStyle w:val="Caption"/>
      </w:pPr>
      <w:r>
        <w:drawing>
          <wp:inline xmlns:a="http://schemas.openxmlformats.org/drawingml/2006/main" xmlns:pic="http://schemas.openxmlformats.org/drawingml/2006/picture">
            <wp:extent cx="5486400" cy="9296965"/>
            <wp:docPr id="2" name="Picture 2"/>
            <wp:cNvGraphicFramePr>
              <a:graphicFrameLocks noChangeAspect="1"/>
            </wp:cNvGraphicFramePr>
            <a:graphic>
              <a:graphicData uri="http://schemas.openxmlformats.org/drawingml/2006/picture">
                <pic:pic>
                  <pic:nvPicPr>
                    <pic:cNvPr id="0" name="A 31896-2021 karta knärot.png"/>
                    <pic:cNvPicPr/>
                  </pic:nvPicPr>
                  <pic:blipFill>
                    <a:blip r:embed="rId17"/>
                    <a:stretch>
                      <a:fillRect/>
                    </a:stretch>
                  </pic:blipFill>
                  <pic:spPr>
                    <a:xfrm>
                      <a:off x="0" y="0"/>
                      <a:ext cx="5486400" cy="9296965"/>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6587440, E 418438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2026-06-11</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