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som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igelkott (VU), grönsångare (NT, §4), gulsparv (NT, §4), mindre hackspett (NT, T, §4), nordfladdermus (NT, §4a), rördrom (NT, §4), jättesvampmal (S), spillkråka (T, §4), dvärgpipistrell (§4a), havsörn (§4), kungsfågel (§4), sävsparv (§4), vattenfladdermus (§4a)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2"/>
      </w:pPr>
      <w:r>
        <w:t>Fridlysta arter</w:t>
      </w:r>
    </w:p>
    <w:p>
      <w:r>
        <w:t>Följande fridlysta arter har sina livsmiljöer och växtplatser i den avverkningsanmälda skogen: grönsångare (NT, §4), gulsparv (NT, §4), mindre hackspett (NT, T, §4), nordfladdermus (NT, §4a), rördrom (NT, §4), spillkråka (T, §4), dvärgpipistrell (§4a), havsörn (§4), kungsfågel (§4), sävsparv (§4), vattenfladdermus (§4a)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