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25097-2025 i Karlstads kommun</w:t>
      </w:r>
    </w:p>
    <w:p>
      <w:r>
        <w:t>Detta klagomål behandlar höga naturvärden i avverkningsanmälan A 25097-2025 i Karlstads kommun som inkom 2025-05-21 och omfattar 1,2 ha.</w:t>
      </w:r>
    </w:p>
    <w:p>
      <w:pPr>
        <w:pStyle w:val="Caption"/>
      </w:pPr>
      <w:r>
        <w:drawing>
          <wp:inline xmlns:a="http://schemas.openxmlformats.org/drawingml/2006/main" xmlns:pic="http://schemas.openxmlformats.org/drawingml/2006/picture">
            <wp:extent cx="5486400" cy="3983767"/>
            <wp:docPr id="1" name="Picture 1"/>
            <wp:cNvGraphicFramePr>
              <a:graphicFrameLocks noChangeAspect="1"/>
            </wp:cNvGraphicFramePr>
            <a:graphic>
              <a:graphicData uri="http://schemas.openxmlformats.org/drawingml/2006/picture">
                <pic:pic>
                  <pic:nvPicPr>
                    <pic:cNvPr id="0" name="A 25097-2025 karta.png"/>
                    <pic:cNvPicPr/>
                  </pic:nvPicPr>
                  <pic:blipFill>
                    <a:blip r:embed="rId16"/>
                    <a:stretch>
                      <a:fillRect/>
                    </a:stretch>
                  </pic:blipFill>
                  <pic:spPr>
                    <a:xfrm>
                      <a:off x="0" y="0"/>
                      <a:ext cx="5486400" cy="398376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6583904, E 408664 i SWEREF 99 TM.</w:t>
      </w:r>
    </w:p>
    <w:p>
      <w:r>
        <w:t>I avverkningsanmälan finns fynd av 2 naturvårdsarter, varav 2 är rödlistade och 1 är typisk (T): kandelabersvamp (NT, T) och vågticka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Kandelabersvamp (NT)</w:t>
      </w:r>
      <w:r>
        <w:t xml:space="preserve"> är en mycket bra signalart på skyddsvärda skogsbestånd i hela sitt utbredningsområde. Svampen indikerar sena aspsuccessioner inom områden med konstant hög luftfuktighet. Kandelabersvamp är typisk art för </w:t>
      </w:r>
      <w:r>
        <w:rPr>
          <w:i/>
        </w:rPr>
        <w:t xml:space="preserve">9010 Taiga </w:t>
      </w:r>
      <w:r>
        <w:t>(Nitare &amp; Skogsstyrelsen, 2019; SLU Artdatabanken, 2025).</w:t>
      </w:r>
    </w:p>
    <w:p>
      <w:r>
        <w:rPr>
          <w:b/>
        </w:rPr>
        <w:t xml:space="preserve">Vågticka (NT) </w:t>
      </w:r>
      <w:r>
        <w:t>förekommer främst i rikare kontinuitetsskogar med mycket död ved. Den växer på grova lågor och stubbar av gran och asp, men ibland även på andra trädslag.  Arten missgynnas av slutavverkning av äldre barrskog med lång skoglig kontinuitet, men även av skogliga åtgärder som t.ex. markberedning som förstör lågor. Minskningstakten för den svenska populationen bedöms vara nära gränsvärdet för sårbar (VU)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2026-09-17</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