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2893-2022 i Karlstads kommun</w:t>
      </w:r>
    </w:p>
    <w:p>
      <w:r>
        <w:t>Detta klagomål behandlar höga naturvärden i samrådsanmälan S 2893-2022 i Karlstads kommun som inkom 2022-05-27 och omfattar 108,5 ha.</w:t>
      </w:r>
    </w:p>
    <w:p>
      <w:pPr>
        <w:pStyle w:val="Caption"/>
      </w:pPr>
      <w:r>
        <w:drawing>
          <wp:inline xmlns:a="http://schemas.openxmlformats.org/drawingml/2006/main" xmlns:pic="http://schemas.openxmlformats.org/drawingml/2006/picture">
            <wp:extent cx="5486400" cy="2598027"/>
            <wp:docPr id="1" name="Picture 1"/>
            <wp:cNvGraphicFramePr>
              <a:graphicFrameLocks noChangeAspect="1"/>
            </wp:cNvGraphicFramePr>
            <a:graphic>
              <a:graphicData uri="http://schemas.openxmlformats.org/drawingml/2006/picture">
                <pic:pic>
                  <pic:nvPicPr>
                    <pic:cNvPr id="0" name="S 2893-2022 karta.png"/>
                    <pic:cNvPicPr/>
                  </pic:nvPicPr>
                  <pic:blipFill>
                    <a:blip r:embed="rId16"/>
                    <a:stretch>
                      <a:fillRect/>
                    </a:stretch>
                  </pic:blipFill>
                  <pic:spPr>
                    <a:xfrm>
                      <a:off x="0" y="0"/>
                      <a:ext cx="5486400" cy="259802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6586770, E 419401 i SWEREF 99 TM.</w:t>
      </w:r>
    </w:p>
    <w:p>
      <w:r>
        <w:t>I och inom 25 meter från samrådsanmälan finns fynd av 24 naturvårdsarter, varav 8 är rödlistade, 16 är fridlysta, 6 är typiska (T) och 7 är signalarter (S): grönfink (VU, §4), igelkott (VU), knärot (VU, T, §8), silverblåvinge (VU), duvhök (NT, §4), gulsparv (NT, §4), talltita (NT, §4), tretåig hackspett (NT, T, §4), björksplintborre (S), blåmossa (S, T), bronshjon (S, T), dolkstekelsglasvinge (S), grön sköldmossa (S, T, §8), thomsons trägnagare (S), vågbandad barkbock (S), spillkråka (T, §4), gröngöling (§4), grönsiska (§4), kråka (§4), kungsfågel (§4), kopparödla (§6), vanlig groda (§6), vanlig snok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2070126"/>
            <wp:docPr id="2" name="Picture 2"/>
            <wp:cNvGraphicFramePr>
              <a:graphicFrameLocks noChangeAspect="1"/>
            </wp:cNvGraphicFramePr>
            <a:graphic>
              <a:graphicData uri="http://schemas.openxmlformats.org/drawingml/2006/picture">
                <pic:pic>
                  <pic:nvPicPr>
                    <pic:cNvPr id="0" name="S 2893-2022 karta knärot.png"/>
                    <pic:cNvPicPr/>
                  </pic:nvPicPr>
                  <pic:blipFill>
                    <a:blip r:embed="rId17"/>
                    <a:stretch>
                      <a:fillRect/>
                    </a:stretch>
                  </pic:blipFill>
                  <pic:spPr>
                    <a:xfrm>
                      <a:off x="0" y="0"/>
                      <a:ext cx="5486400" cy="207012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6586770, E 419401 i SWEREF 99 TM.</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