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44658-2024 i Karlstads kommun</w:t>
      </w:r>
    </w:p>
    <w:p>
      <w:r>
        <w:t>Detta dokument behandlar höga naturvärden i avverkningsanmälan A 44658-2024 i Karlstads kommun. Denna avverkningsanmälan inkom 2024-10-09 00:00:00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tornseglare (EN, §4), hussvala (VU, §4), stare (VU, §4), buskskvätta (NT, §4), grönsångare (NT, §4), gulsparv (NT, §4) och göktyta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4465"/>
            <wp:docPr id="1" name="Picture 1"/>
            <wp:cNvGraphicFramePr>
              <a:graphicFrameLocks noChangeAspect="1"/>
            </wp:cNvGraphicFramePr>
            <a:graphic>
              <a:graphicData uri="http://schemas.openxmlformats.org/drawingml/2006/picture">
                <pic:pic>
                  <pic:nvPicPr>
                    <pic:cNvPr id="0" name="A 44658-2024 karta.png"/>
                    <pic:cNvPicPr/>
                  </pic:nvPicPr>
                  <pic:blipFill>
                    <a:blip r:embed="rId16"/>
                    <a:stretch>
                      <a:fillRect/>
                    </a:stretch>
                  </pic:blipFill>
                  <pic:spPr>
                    <a:xfrm>
                      <a:off x="0" y="0"/>
                      <a:ext cx="5486400" cy="4674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6623606, E 425665 i SWEREF 99 TM.</w:t>
      </w:r>
    </w:p>
    <w:p>
      <w:pPr>
        <w:pStyle w:val="Heading1"/>
      </w:pPr>
      <w:r>
        <w:t>Fridlysta arter</w:t>
      </w:r>
    </w:p>
    <w:p>
      <w:r>
        <w:t>Följande fridlysta arter har sina livsmiljöer och växtplatser i den avverkningsanmälda skogen: tornseglare (EN, §4), hussvala (VU, §4), stare (VU, §4), buskskvätta (NT, §4), grönsångare (NT, §4), gulsparv (NT, §4) och göktyta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