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665-2025 i Kristinehamns kommun</w:t>
      </w:r>
    </w:p>
    <w:p>
      <w:r>
        <w:t>Denna tillsynsbegäran behandlar höga naturvärden i samrådsanmälan S 665-2025 i Kristinehamns kommun som inkom 2025-02-28 och omfattar 50,8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40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6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40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6573854, E 460037 i SWEREF 99 TM.</w:t>
      </w:r>
    </w:p>
    <w:p>
      <w:r>
        <w:t>I samrådsanmälan finns fynd av 1 naturvårdsarter, varav 1 är typisk (T) och 1 är signalart (S): bollvitmossa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Bollvitmossa </w:t>
      </w:r>
      <w:r>
        <w:t xml:space="preserve">är en bra signalart inom hela sitt utbredningsområde. Vanligast är den i naturvårdsintressanta tallsumpskogar. Även gransumpskogar med bollvitmossa har normalt höga naturvärden. Arten indikerar skogsmark med stabila hydrologiska förhållanden och sannolikt även lång skoglig kontinuitet. Bollvitmossa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9740 Skogsbevuxen myr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