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53132-2023 i Kristinehamns kommun</w:t>
      </w:r>
    </w:p>
    <w:p>
      <w:r>
        <w:t>Denna tillsynsbegäran behandlar höga naturvärden i avverkningsanmälan A 53132-2023 i Kristinehamns kommun som inkom 2023-10-30 och omfattar 4,9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3132-2023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6585608, E 446630 i SWEREF 99 TM.</w:t>
      </w:r>
    </w:p>
    <w:p>
      <w:r>
        <w:t>I och inom 23 meter från avverkningsanmälan finns fynd av 13 naturvårdsarter, varav 4 är rödlistade, 5 är fridlysta, 8 är typiska (T) och 7 är signalarter (S): bombmurkla (EN, §8), talltita (NT, §4), ullticka (NT, T), vedtrappmossa (NT, T), brandticka (S), bronshjon (S, T), bårdlav (S, T), grön sköldmossa (S, T, §8), grönpyrola (S, T), kamjordstjärna (S), vågbandad barkbock (S),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742155"/>
            <wp:docPr id="2" name="Picture 2"/>
            <wp:cNvGraphicFramePr>
              <a:graphicFrameLocks noChangeAspect="1"/>
            </wp:cNvGraphicFramePr>
            <a:graphic>
              <a:graphicData uri="http://schemas.openxmlformats.org/drawingml/2006/picture">
                <pic:pic>
                  <pic:nvPicPr>
                    <pic:cNvPr id="0" name="A 53132-2023 karta knärot.png"/>
                    <pic:cNvPicPr/>
                  </pic:nvPicPr>
                  <pic:blipFill>
                    <a:blip r:embed="rId17"/>
                    <a:stretch>
                      <a:fillRect/>
                    </a:stretch>
                  </pic:blipFill>
                  <pic:spPr>
                    <a:xfrm>
                      <a:off x="0" y="0"/>
                      <a:ext cx="5486400" cy="67421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6585608, E 446630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bårdlav (S, T), grön sköldmossa (S, T, §8), grönpyrola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