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58400-2021 i Kristinehamns kommun</w:t>
      </w:r>
    </w:p>
    <w:p>
      <w:r>
        <w:t>Detta dokument behandlar höga naturvärden i avverkningsanmälan A 58400-2021 i Kristinehamns kommun. Denna avverkningsanmälan inkom 2021-10-19 00:00:00 och omfattar 24,0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spillkråka (NT, §4), tretåig hackspett (NT, §4), kattfotslav (S), rödgul trumpetsvamp (S) och stor revmossa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9787"/>
            <wp:docPr id="1" name="Picture 1"/>
            <wp:cNvGraphicFramePr>
              <a:graphicFrameLocks noChangeAspect="1"/>
            </wp:cNvGraphicFramePr>
            <a:graphic>
              <a:graphicData uri="http://schemas.openxmlformats.org/drawingml/2006/picture">
                <pic:pic>
                  <pic:nvPicPr>
                    <pic:cNvPr id="0" name="A 58400-2021 karta.png"/>
                    <pic:cNvPicPr/>
                  </pic:nvPicPr>
                  <pic:blipFill>
                    <a:blip r:embed="rId16"/>
                    <a:stretch>
                      <a:fillRect/>
                    </a:stretch>
                  </pic:blipFill>
                  <pic:spPr>
                    <a:xfrm>
                      <a:off x="0" y="0"/>
                      <a:ext cx="5486400" cy="37597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6562702, E 452942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r>
        <w:rPr>
          <w:b/>
        </w:rPr>
        <w:t xml:space="preserve">Rödgul trumpetsvamp </w:t>
      </w:r>
      <w:r>
        <w:t>signalerar kalkrika barrsumpskogar eller avgränsade små mineralrika ytor i barrskogslandskapet, vilka normalt har höga naturvärden. I urbergsbygder är den en bra signalart på känsliga skogsbiotoper (Nitare &amp; Skogsstyrelsen, 2019).</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