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56590-2022 i Kristinehamns kommun</w:t>
      </w:r>
    </w:p>
    <w:p>
      <w:r>
        <w:t>Detta dokument behandlar höga naturvärden i avverkningsanmälan A 56590-2022 i Kristinehamns kommun. Denna avverkningsanmälan inkom 2022-11-28 och omfattar 3,6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1 naturvårdsarter hittats: kopparödla (§6). För fridlysta arter anges även paragrafen i Artskyddsförordningen som arten är fridlyst enligt.</w:t>
      </w:r>
    </w:p>
    <w:p>
      <w:r>
        <w:t>De påträffade naturvårdsarterna är ett tydligt kvitto på att detta rör sig om en skog med mycket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600117"/>
            <wp:docPr id="1" name="Picture 1"/>
            <wp:cNvGraphicFramePr>
              <a:graphicFrameLocks noChangeAspect="1"/>
            </wp:cNvGraphicFramePr>
            <a:graphic>
              <a:graphicData uri="http://schemas.openxmlformats.org/drawingml/2006/picture">
                <pic:pic>
                  <pic:nvPicPr>
                    <pic:cNvPr id="0" name="A 56590-2022 karta.png"/>
                    <pic:cNvPicPr/>
                  </pic:nvPicPr>
                  <pic:blipFill>
                    <a:blip r:embed="rId16"/>
                    <a:stretch>
                      <a:fillRect/>
                    </a:stretch>
                  </pic:blipFill>
                  <pic:spPr>
                    <a:xfrm>
                      <a:off x="0" y="0"/>
                      <a:ext cx="5486400" cy="560011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6568565, E 448231 i SWEREF 99 TM.</w:t>
      </w:r>
    </w:p>
    <w:p>
      <w:pPr>
        <w:pStyle w:val="Heading1"/>
      </w:pPr>
      <w:r>
        <w:t>Fridlysta arter</w:t>
      </w:r>
    </w:p>
    <w:p>
      <w:r>
        <w:t>Följande fridlysta arter har sina livsmiljöer och växtplatser i den avverkningsanmälda skogen: kopparödla (§6).</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2024-02-25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