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58400-2021 i Kristinehamns kommun</w:t>
      </w:r>
    </w:p>
    <w:p>
      <w:r>
        <w:t>Detta klagomål behandlar höga naturvärden i avverkningsanmälan A 58400-2021 i Kristinehamns kommun som inkom 2021-10-19 och omfattar 24,0 ha.</w:t>
      </w:r>
    </w:p>
    <w:p>
      <w:pPr>
        <w:pStyle w:val="Caption"/>
      </w:pPr>
      <w:r>
        <w:drawing>
          <wp:inline xmlns:a="http://schemas.openxmlformats.org/drawingml/2006/main" xmlns:pic="http://schemas.openxmlformats.org/drawingml/2006/picture">
            <wp:extent cx="5486400" cy="4856689"/>
            <wp:docPr id="1" name="Picture 1"/>
            <wp:cNvGraphicFramePr>
              <a:graphicFrameLocks noChangeAspect="1"/>
            </wp:cNvGraphicFramePr>
            <a:graphic>
              <a:graphicData uri="http://schemas.openxmlformats.org/drawingml/2006/picture">
                <pic:pic>
                  <pic:nvPicPr>
                    <pic:cNvPr id="0" name="A 58400-2021 karta.png"/>
                    <pic:cNvPicPr/>
                  </pic:nvPicPr>
                  <pic:blipFill>
                    <a:blip r:embed="rId16"/>
                    <a:stretch>
                      <a:fillRect/>
                    </a:stretch>
                  </pic:blipFill>
                  <pic:spPr>
                    <a:xfrm>
                      <a:off x="0" y="0"/>
                      <a:ext cx="5486400" cy="48566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6562702, E 452942 i SWEREF 99 TM.</w:t>
      </w:r>
    </w:p>
    <w:p>
      <w:r>
        <w:t>I avverkningsanmälan finns fynd av 5 naturvårdsarter, varav 2 är rödlistade, 2 är fridlysta, 3 är typiska (T) och 2 är signalarter (S): kattfotslav (NT, T), tretåig hackspett (NT, T, §4), rödgul trumpetsvamp (S), stor revmossa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