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53130-2023 i Kristinehamns kommun</w:t>
      </w:r>
    </w:p>
    <w:p>
      <w:r>
        <w:t>Denna tillsynsbegäran behandlar höga naturvärden i avverkningsanmälan A 53130-2023 i Kristinehamns kommun som inkom 2023-10-30 och omfattar 6,5 ha.</w:t>
      </w:r>
    </w:p>
    <w:p>
      <w:pPr>
        <w:pStyle w:val="Caption"/>
      </w:pPr>
      <w:r>
        <w:drawing>
          <wp:inline xmlns:a="http://schemas.openxmlformats.org/drawingml/2006/main" xmlns:pic="http://schemas.openxmlformats.org/drawingml/2006/picture">
            <wp:extent cx="5342155" cy="5724000"/>
            <wp:docPr id="1" name="Picture 1"/>
            <wp:cNvGraphicFramePr>
              <a:graphicFrameLocks noChangeAspect="1"/>
            </wp:cNvGraphicFramePr>
            <a:graphic>
              <a:graphicData uri="http://schemas.openxmlformats.org/drawingml/2006/picture">
                <pic:pic>
                  <pic:nvPicPr>
                    <pic:cNvPr id="0" name="A 53130-2023 karta.png"/>
                    <pic:cNvPicPr/>
                  </pic:nvPicPr>
                  <pic:blipFill>
                    <a:blip r:embed="rId16"/>
                    <a:stretch>
                      <a:fillRect/>
                    </a:stretch>
                  </pic:blipFill>
                  <pic:spPr>
                    <a:xfrm>
                      <a:off x="0" y="0"/>
                      <a:ext cx="534215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6585582, E 446223 i SWEREF 99 TM.</w:t>
      </w:r>
    </w:p>
    <w:p>
      <w:r>
        <w:t>I och inom 25 meter från avverkningsanmälan finns fynd av 11 naturvårdsarter, varav 6 är rödlistade, 4 är fridlysta, 6 är typiska (T) och 3 är signalarter (S): bombmurkla (EN, §8), garnlav (VU, T), brunpudrad nållav (NT, T), dofttaggsvamp (NT, T), fyrflikig jordstjärna (NT, T), talltita (NT, §4), brandticka (S), grönpyrola (S, T), kamjordstjärna (S), blåsippa (T, §9)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dofttaggsvamp (NT, T), fyrflikig jordstjärna (NT, T), grönpyrola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