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2487-2022 i Kristinehamns kommun</w:t>
      </w:r>
    </w:p>
    <w:p>
      <w:r>
        <w:t>Denna tillsynsbegäran behandlar höga naturvärden i samrådsanmälan S 2487-2022 i Kristinehamns kommun som inkom 2022-05-12 och omfattar 43,2 ha.</w:t>
      </w:r>
    </w:p>
    <w:p>
      <w:pPr>
        <w:pStyle w:val="Caption"/>
      </w:pPr>
      <w:r>
        <w:drawing>
          <wp:inline xmlns:a="http://schemas.openxmlformats.org/drawingml/2006/main" xmlns:pic="http://schemas.openxmlformats.org/drawingml/2006/picture">
            <wp:extent cx="5486400" cy="5710758"/>
            <wp:docPr id="1" name="Picture 1"/>
            <wp:cNvGraphicFramePr>
              <a:graphicFrameLocks noChangeAspect="1"/>
            </wp:cNvGraphicFramePr>
            <a:graphic>
              <a:graphicData uri="http://schemas.openxmlformats.org/drawingml/2006/picture">
                <pic:pic>
                  <pic:nvPicPr>
                    <pic:cNvPr id="0" name="S 2487-2022 karta.png"/>
                    <pic:cNvPicPr/>
                  </pic:nvPicPr>
                  <pic:blipFill>
                    <a:blip r:embed="rId16"/>
                    <a:stretch>
                      <a:fillRect/>
                    </a:stretch>
                  </pic:blipFill>
                  <pic:spPr>
                    <a:xfrm>
                      <a:off x="0" y="0"/>
                      <a:ext cx="5486400" cy="5710758"/>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6569308, E 450794 i SWEREF 99 TM.</w:t>
      </w:r>
    </w:p>
    <w:p>
      <w:r>
        <w:t>I samrådsanmälan finns fynd av 1 naturvårdsarter, varav 1 är fridlyst: gråskimlig fladdermus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Gråskimlig fladdermus (§4a)</w:t>
      </w:r>
      <w:r>
        <w:t xml:space="preserve"> omfattas av bilaga 4 EU:s art- och habitatdirektiv vilket innebär ett strikt skydd där arten och dess livsmiljöer ska bevaras. Arten födosöker i halvöppna miljöer, t.ex. i glesa skogar, trädbärande betesmarker, brynmiljöer, parker och i anslutning till sjöar och vattendrag.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