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pPr>
        <w:pStyle w:val="Heading1"/>
      </w:pPr>
      <w:r>
        <w:t>Fridlysta arter</w:t>
      </w:r>
    </w:p>
    <w:p>
      <w:r>
        <w:t>Följande fridlysta arter har sina livsmiljöer och växtplatser i den avverkningsanmälda skogen: knärot (VU, §8), spillkråka (NT, §4) och grön sköldmossa (S, §8).</w:t>
      </w:r>
      <w:r>
        <w:t xml:space="preserve"> I BILAGA 1 finns information om ekologi samt krav på livsmiljö hos fridlysta arter.</w:t>
      </w:r>
    </w:p>
    <w:p>
      <w:r>
        <w:t>I det avverkningsanmälda området finns 132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6621962, E 458441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