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FSC- /PEFC-klagomål - information om höga naturvärden och fridlysta arter i avverkningsanmälan A 19945-2023 i Filipstads kommun</w:t>
      </w:r>
    </w:p>
    <w:p>
      <w:r>
        <w:t>Detta dokument behandlar höga naturvärden i avverkningsanmälan A 19945-2023 i Filipstads kommun. Denna avverkningsanmälan inkom 2023-05-08 och omfattar 3,3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guckusko (S, §7) och kransrams (S).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mycket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883750"/>
            <wp:docPr id="1" name="Picture 1"/>
            <wp:cNvGraphicFramePr>
              <a:graphicFrameLocks noChangeAspect="1"/>
            </wp:cNvGraphicFramePr>
            <a:graphic>
              <a:graphicData uri="http://schemas.openxmlformats.org/drawingml/2006/picture">
                <pic:pic>
                  <pic:nvPicPr>
                    <pic:cNvPr id="0" name="A 19945-2023 karta.png"/>
                    <pic:cNvPicPr/>
                  </pic:nvPicPr>
                  <pic:blipFill>
                    <a:blip r:embed="rId16"/>
                    <a:stretch>
                      <a:fillRect/>
                    </a:stretch>
                  </pic:blipFill>
                  <pic:spPr>
                    <a:xfrm>
                      <a:off x="0" y="0"/>
                      <a:ext cx="5486400" cy="488375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6629717, E 461221 i SWEREF 99 TM.</w:t>
      </w:r>
    </w:p>
    <w:p>
      <w:pPr>
        <w:pStyle w:val="Heading1"/>
      </w:pPr>
      <w:r>
        <w:t>Fridlysta arter</w:t>
      </w:r>
    </w:p>
    <w:p>
      <w:r>
        <w:t>Följande fridlysta arter har sina livsmiljöer och växtplatser i den avverkningsanmälda skogen: guckusko (S, §7).</w:t>
      </w:r>
      <w:r>
        <w:t xml:space="preserve"> I BILAGA 1 finns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Guckusko – ekologi samt krav på livsmiljön</w:t>
      </w:r>
    </w:p>
    <w:p>
      <w:r>
        <w:t xml:space="preserve">Guckusko omfattas av EU:s art- och habitatdirektiv och är fridlyst enligt §7 Artskyddsförordningen (bilaga 1) vilket innebär att hela dess livsmiljö ska bevaras. Guckusko är beroende av hög och jämn luftfuktighet i gamla, ostörda skogsmiljöer och är känslig för snabba förändringar av ljus-/vindförhållanden eller uttorkning. Den förekommer främst i skogar som inte påverkats av kraftig störning, till exempel slutavverkning, markberedning, körskador, gödsling eller dikning. </w:t>
      </w:r>
    </w:p>
    <w:p>
      <w:pPr>
        <w:pStyle w:val="Heading2"/>
      </w:pPr>
      <w:r>
        <w:t>Referenser - guckusko</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2024-01-02</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