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42542-2026 i Filipstads kommun</w:t>
      </w:r>
    </w:p>
    <w:p>
      <w:r>
        <w:t>Denna tillsynsbegäran behandlar höga naturvärden i avverkningsanmälan A 42542-2026 i Filipstads kommun som inkom 2026-10-13 och omfattar 3,2 ha.</w:t>
      </w:r>
    </w:p>
    <w:p>
      <w:pPr>
        <w:pStyle w:val="Caption"/>
      </w:pPr>
      <w:r>
        <w:drawing>
          <wp:inline xmlns:a="http://schemas.openxmlformats.org/drawingml/2006/main" xmlns:pic="http://schemas.openxmlformats.org/drawingml/2006/picture">
            <wp:extent cx="5486400" cy="5467611"/>
            <wp:docPr id="1" name="Picture 1"/>
            <wp:cNvGraphicFramePr>
              <a:graphicFrameLocks noChangeAspect="1"/>
            </wp:cNvGraphicFramePr>
            <a:graphic>
              <a:graphicData uri="http://schemas.openxmlformats.org/drawingml/2006/picture">
                <pic:pic>
                  <pic:nvPicPr>
                    <pic:cNvPr id="0" name="A 42542-2026 karta.png"/>
                    <pic:cNvPicPr/>
                  </pic:nvPicPr>
                  <pic:blipFill>
                    <a:blip r:embed="rId16"/>
                    <a:stretch>
                      <a:fillRect/>
                    </a:stretch>
                  </pic:blipFill>
                  <pic:spPr>
                    <a:xfrm>
                      <a:off x="0" y="0"/>
                      <a:ext cx="5486400" cy="5467611"/>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6622410, E 455809 i SWEREF 99 TM.</w:t>
      </w:r>
    </w:p>
    <w:p>
      <w:r>
        <w:t>I avverkningsanmälan finns fynd av 2 naturvårdsarter, varav 2 är fridlysta: kungsfågel (§4) och nattviol (§8).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pPr>
        <w:pStyle w:val="Heading1"/>
      </w:pPr>
      <w:r>
        <w:t>EU:s fågeldirektiv</w:t>
      </w:r>
    </w:p>
    <w:p>
      <w:r>
        <w:t xml:space="preserve">Europeiska unionens medlemsländer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2026-10-23</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