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196-2025 i Hagfors kommun</w:t>
      </w:r>
    </w:p>
    <w:p>
      <w:r>
        <w:t>Denna tillsynsbegäran behandlar höga naturvärden i samrådsanmälan S 196-2025 i Hagfors kommun som inkom 2025-01-21 och omfattar 18,2 ha.</w:t>
      </w:r>
    </w:p>
    <w:p>
      <w:pPr>
        <w:pStyle w:val="Caption"/>
      </w:pPr>
      <w:r>
        <w:drawing>
          <wp:inline xmlns:a="http://schemas.openxmlformats.org/drawingml/2006/main" xmlns:pic="http://schemas.openxmlformats.org/drawingml/2006/picture">
            <wp:extent cx="5486400" cy="5555123"/>
            <wp:docPr id="1" name="Picture 1"/>
            <wp:cNvGraphicFramePr>
              <a:graphicFrameLocks noChangeAspect="1"/>
            </wp:cNvGraphicFramePr>
            <a:graphic>
              <a:graphicData uri="http://schemas.openxmlformats.org/drawingml/2006/picture">
                <pic:pic>
                  <pic:nvPicPr>
                    <pic:cNvPr id="0" name="S 196-2025 karta.png"/>
                    <pic:cNvPicPr/>
                  </pic:nvPicPr>
                  <pic:blipFill>
                    <a:blip r:embed="rId16"/>
                    <a:stretch>
                      <a:fillRect/>
                    </a:stretch>
                  </pic:blipFill>
                  <pic:spPr>
                    <a:xfrm>
                      <a:off x="0" y="0"/>
                      <a:ext cx="5486400" cy="5555123"/>
                    </a:xfrm>
                    <a:prstGeom prst="rect"/>
                  </pic:spPr>
                </pic:pic>
              </a:graphicData>
            </a:graphic>
          </wp:inline>
        </w:drawing>
      </w:r>
    </w:p>
    <w:p>
      <w:pPr>
        <w:pStyle w:val="Caption"/>
        <w:spacing w:after="240"/>
      </w:pPr>
      <w:r>
        <w:t>Figur 1. Fyndplatser för naturvårdsarter i och inom 20 meter från samrådsanmälan. Markörer utan svart kant är placerade på fyndplatsen. Markörer med svart kant är placerade vid sidan av fyndplatsen och har ett svart streck som visar fyndplatsens exakta position. Kartans mittpunktskoordinat är N 6665890, E 444559 i SWEREF 99 TM.</w:t>
      </w:r>
    </w:p>
    <w:p>
      <w:r>
        <w:t>I och inom 20 meter från samrådsanmälan finns fynd av 9 naturvårdsarter, varav 4 är rödlistade, 8 är typiska (T) och 5 är signalarter (S): garnlav (VU, T), lunglav (NT, T), skuggblåslav (NT, T), vedtrappmossa (NT, T), bronshjon (S, T), korallblylav (S, T), mindre märgborre (S, T), thomsons trägnagare (S) och vanlig flatbagge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Vanlig flatbagge</w:t>
      </w:r>
      <w:r>
        <w:t xml:space="preserve"> är en skalbagge vars larvutveckling sker i brunrötad ved av tall och gran, i mindre omfattning lövträd som al, asp och björk. Främst i lågor med klibbticka, timmerticka eller citronticka. Vanlig flatbagge är typisk art för </w:t>
      </w:r>
      <w:r>
        <w:rPr>
          <w:i/>
        </w:rPr>
        <w:t xml:space="preserve">9060 Åsbarrskog </w:t>
      </w:r>
      <w:r>
        <w:t>(SLU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garnlav (VU, T), lunglav (NT, T), skuggblåslav (NT, T), vedtrappmossa (NT, T), bronshjon (S, T), korallblylav (S, T), mindre märgborre (S, T) och vanlig flatbagge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