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23955-2025 i Hagfors kommun</w:t>
      </w:r>
    </w:p>
    <w:p>
      <w:r>
        <w:t>Detta dokument behandlar höga naturvärden i avverkningsanmälan A 23955-2025 i Hagfors kommun. Denna avverkningsanmälan inkom 2025-05-19 08:44:16 och omfattar 3,7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4 naturvårdsarter hittats: knärot (VU, §8), garnlav (NT), tretåig hackspett (NT, §4) och dropptaggsvamp (S). Av dessa är 3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750954"/>
            <wp:docPr id="1" name="Picture 1"/>
            <wp:cNvGraphicFramePr>
              <a:graphicFrameLocks noChangeAspect="1"/>
            </wp:cNvGraphicFramePr>
            <a:graphic>
              <a:graphicData uri="http://schemas.openxmlformats.org/drawingml/2006/picture">
                <pic:pic>
                  <pic:nvPicPr>
                    <pic:cNvPr id="0" name="A 23955-2025 karta.png"/>
                    <pic:cNvPicPr/>
                  </pic:nvPicPr>
                  <pic:blipFill>
                    <a:blip r:embed="rId16"/>
                    <a:stretch>
                      <a:fillRect/>
                    </a:stretch>
                  </pic:blipFill>
                  <pic:spPr>
                    <a:xfrm>
                      <a:off x="0" y="0"/>
                      <a:ext cx="5486400" cy="375095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6652312, E 407310 i SWEREF 99 TM.</w:t>
      </w:r>
    </w:p>
    <w:p>
      <w:r>
        <w:rPr>
          <w:b/>
        </w:rPr>
        <w:t>Dropptaggsvamp</w:t>
      </w:r>
      <w:r>
        <w:t xml:space="preserve"> bildar mykorrhiza med tall, huvudsakligen i äldre skog. Total population i landet bedöms ha minskat och fortsatt minska på grund av slutavverkningar och förhöja kvävenivåer i marken som en följd av skogsgödsling. Dropptaggsvamp är typisk art för </w:t>
      </w:r>
      <w:r>
        <w:rPr>
          <w:i/>
        </w:rPr>
        <w:t xml:space="preserve">9010 Taiga </w:t>
      </w:r>
      <w:r>
        <w:t>(SLU Artdatabanken, 2025).</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Garnlav är typisk art för </w:t>
      </w:r>
      <w:r>
        <w:rPr>
          <w:i/>
        </w:rPr>
        <w:t xml:space="preserve">9010 Taiga </w:t>
      </w:r>
      <w:r>
        <w:t>och</w:t>
      </w:r>
      <w:r>
        <w:rPr>
          <w:i/>
        </w:rPr>
        <w:t xml:space="preserve"> 9070 Trädklädd betesmark </w:t>
      </w:r>
      <w:r>
        <w:t xml:space="preserve"> (SLU Artdatabanken, 2024).</w:t>
      </w:r>
    </w:p>
    <w:p>
      <w:pPr>
        <w:pStyle w:val="Heading1"/>
      </w:pPr>
      <w:r>
        <w:t>Fridlysta arter</w:t>
      </w:r>
    </w:p>
    <w:p>
      <w:r>
        <w:t>Följande fridlysta arter har sina livsmiljöer och växtplatser i den avverkningsanmälda skogen: knärot (VU, §8) och tretåig hackspett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Knärot (VU, §8)</w:t>
      </w:r>
      <w:r>
        <w:t xml:space="preserve"> är typisk art för </w:t>
      </w:r>
      <w:r>
        <w:rPr>
          <w:i/>
        </w:rPr>
        <w:t xml:space="preserve">9010 Taiga </w:t>
      </w:r>
      <w:r>
        <w:t>och</w:t>
      </w:r>
      <w:r>
        <w:rPr>
          <w:i/>
        </w:rPr>
        <w:t xml:space="preserve"> 9050 Näringsrik granskog</w:t>
      </w:r>
      <w:r>
        <w:t xml:space="preserve">,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2 fyndplatser för knärot registrerade på Artportalen. Figur 2 visar gränserna för buffertzoner på 50 m, som behöver lämnas kring fyndplatserna för att knärotslokalerna inte ska försvinna vid en avverkning. Av det avverkningsanmälda området överlappar 0.72 ha med buffertzonerna och får av detta skäl inte avverkas.</w:t>
      </w:r>
    </w:p>
    <w:p>
      <w:pPr>
        <w:pStyle w:val="Caption"/>
      </w:pPr>
      <w:r>
        <w:drawing>
          <wp:inline xmlns:a="http://schemas.openxmlformats.org/drawingml/2006/main" xmlns:pic="http://schemas.openxmlformats.org/drawingml/2006/picture">
            <wp:extent cx="5486400" cy="4416994"/>
            <wp:docPr id="2" name="Picture 2"/>
            <wp:cNvGraphicFramePr>
              <a:graphicFrameLocks noChangeAspect="1"/>
            </wp:cNvGraphicFramePr>
            <a:graphic>
              <a:graphicData uri="http://schemas.openxmlformats.org/drawingml/2006/picture">
                <pic:pic>
                  <pic:nvPicPr>
                    <pic:cNvPr id="0" name="A 23955-2025 karta knärot.png"/>
                    <pic:cNvPicPr/>
                  </pic:nvPicPr>
                  <pic:blipFill>
                    <a:blip r:embed="rId17"/>
                    <a:stretch>
                      <a:fillRect/>
                    </a:stretch>
                  </pic:blipFill>
                  <pic:spPr>
                    <a:xfrm>
                      <a:off x="0" y="0"/>
                      <a:ext cx="5486400" cy="4416994"/>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6652312, E 407310 i SWEREF 99 TM.</w:t>
      </w:r>
    </w:p>
    <w:p>
      <w:pPr>
        <w:pStyle w:val="Caption"/>
      </w:pP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Tretåig hackspett är typisk art för </w:t>
      </w:r>
      <w:r>
        <w:rPr>
          <w:i/>
        </w:rPr>
        <w:t xml:space="preserve">9010 Taiga, 9740 Skogsbevuxen myr, 9030 Landhöjningsskog </w:t>
      </w:r>
      <w:r>
        <w:t xml:space="preserve">och </w:t>
      </w:r>
      <w:r>
        <w:rPr>
          <w:i/>
        </w:rPr>
        <w:t>9040 Fjällbjörkskog</w:t>
      </w:r>
      <w:r>
        <w:t xml:space="preserve"> (Skogsstyrelsen, 2016; SLU Artdatabanken, 2024).</w:t>
      </w:r>
    </w:p>
    <w:p>
      <w:r>
        <w:t>I BILAGA 1 finns mer detaljerad information om ekologi samt krav på livsmiljö hos fridlysta arter.</w:t>
      </w:r>
    </w:p>
    <w:p>
      <w:r>
        <w:br w:type="page"/>
      </w:r>
    </w:p>
    <w:p>
      <w:pPr>
        <w:pStyle w:val="Title"/>
      </w:pPr>
      <w:r>
        <w:t>BILAGA 1 – Fridlysta arter</w:t>
      </w:r>
    </w:p>
    <w:p>
      <w:pPr>
        <w:pStyle w:val="Heading1"/>
      </w:pPr>
      <w:r>
        <w:t>Knärot – ekologi samt krav på livsmiljön</w:t>
      </w:r>
    </w:p>
    <w:p>
      <w:r>
        <w:t xml:space="preserve">Knärot är typisk art för </w:t>
      </w:r>
      <w:r>
        <w:rPr>
          <w:i/>
        </w:rPr>
        <w:t xml:space="preserve">9010 Taiga </w:t>
      </w:r>
      <w:r>
        <w:t>och</w:t>
      </w:r>
      <w:r>
        <w:rPr>
          <w:i/>
        </w:rPr>
        <w:t xml:space="preserve"> 9050 Näringsrik granskog</w:t>
      </w:r>
      <w:r>
        <w:t>,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r>
        <w:t xml:space="preserve"> (SLU Artdatabanken, 2024; Skogsstyrelsen, 2016)</w:t>
      </w:r>
      <w:r>
        <w:rPr>
          <w:i/>
        </w:rPr>
        <w: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(SLU Artdatabanken, 2024; Skogsstyrelsen, 2016).</w:t>
      </w:r>
    </w:p>
    <w:p>
      <w:r>
        <w:t xml:space="preserve">Förutom fridlysning enligt §4 Artskyddsförordningen är tretåig hackspett även förtecknad i EU:s fågeldirektiv bilaga 1. Den är typisk art för </w:t>
      </w:r>
      <w:r>
        <w:rPr>
          <w:i/>
        </w:rPr>
        <w:t xml:space="preserve">9010 Taiga, 9740 Skogsbevuxen myr, 9030 Landhöjningsskog </w:t>
      </w:r>
      <w:r>
        <w:t xml:space="preserve">och </w:t>
      </w:r>
      <w:r>
        <w:rPr>
          <w:i/>
        </w:rPr>
        <w:t>9040 Fjällbjörkskog</w:t>
      </w:r>
      <w:r>
        <w:t xml:space="preserve"> samt ingår i Natura 2000 och är förtecknad i Bernkonventionen bilaga II (strikt skyddade djurarter) (SLU Artdatabanken, 2024; Skogsstyrelsen, 2016).</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Vägledning för hänsyn till fåglar – Tretåig hackspett.</w:t>
      </w:r>
    </w:p>
    <w:p>
      <w:r>
        <w:t xml:space="preserve">SLU Artdatabanken, 2024. </w:t>
      </w:r>
      <w:r>
        <w:rPr>
          <w:i/>
        </w:rPr>
        <w:t xml:space="preserve">Artfaktablad. Naturvård – artfakta. </w:t>
      </w:r>
      <w:r>
        <w:t>SLU Artdatabanken, Uppsala.</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2026-01-29</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