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39627-2023 i Hagfors kommun</w:t>
      </w:r>
    </w:p>
    <w:p>
      <w:r>
        <w:t>Detta klagomål behandlar höga naturvärden i avverkningsanmälan A 39627-2023 i Hagfors kommun som inkom 2023-08-29 och omfattar 20,2 ha.</w:t>
      </w:r>
    </w:p>
    <w:p>
      <w:pPr>
        <w:pStyle w:val="Caption"/>
      </w:pPr>
      <w:r>
        <w:drawing>
          <wp:inline xmlns:a="http://schemas.openxmlformats.org/drawingml/2006/main" xmlns:pic="http://schemas.openxmlformats.org/drawingml/2006/picture">
            <wp:extent cx="5486400" cy="3872531"/>
            <wp:docPr id="1" name="Picture 1"/>
            <wp:cNvGraphicFramePr>
              <a:graphicFrameLocks noChangeAspect="1"/>
            </wp:cNvGraphicFramePr>
            <a:graphic>
              <a:graphicData uri="http://schemas.openxmlformats.org/drawingml/2006/picture">
                <pic:pic>
                  <pic:nvPicPr>
                    <pic:cNvPr id="0" name="A 39627-2023 karta.png"/>
                    <pic:cNvPicPr/>
                  </pic:nvPicPr>
                  <pic:blipFill>
                    <a:blip r:embed="rId16"/>
                    <a:stretch>
                      <a:fillRect/>
                    </a:stretch>
                  </pic:blipFill>
                  <pic:spPr>
                    <a:xfrm>
                      <a:off x="0" y="0"/>
                      <a:ext cx="5486400" cy="387253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6656224, E 412697 i SWEREF 99 TM.</w:t>
      </w:r>
    </w:p>
    <w:p>
      <w:r>
        <w:t>I och inom 11 meter från avverkningsanmälan finns fynd av 12 naturvårdsarter, varav 9 är rödlistade, 10 är typiska (T) och 3 är signalarter (S): dropptaggsvamp (NT, T), dvärgbägarlav (NT, T), kolflarnlav (NT, T), kortskaftad ärgspik (NT), lunglav (NT, T), skuggblåslav (NT, T), smal trollknäppare (NT), vedskivlav (NT, T), vedtrappmossa (NT, T), bårdlav (S, T), korallblylav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Smal trollknäppare (NT)</w:t>
      </w:r>
      <w:r>
        <w:t xml:space="preserve"> är en skalbagge vars larvutveckling sker under bark och i rötad ved på lågor och stubbar av främst tall, men även av gran, asp och björk. Den fullbildade skalbaggen uppehåller sig under barken eller i sprickor i veden där den kan vara svår att få syn på. Arten missgynnas av substratbrist i det brukade skogslandskapet och det föreligger indikation på eller misstanke om populationsminskning. Minskningen avser kvalitén på artens habitat och antalet lokalområden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