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39627-2023 i Hagfors kommun</w:t>
      </w:r>
    </w:p>
    <w:p>
      <w:r>
        <w:t>Detta dokument behandlar höga naturvärden i avverkningsanmälan A 39627-2023 i Hagfors kommun. Denna avverkningsanmälan inkom 2023-08-29 00:00:00 och omfattar 20,2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smal trollknäppare (VU), dvärgbägarlav (NT), kolflarnlav (NT), kortskaftad ärgspik (NT), vedskivlav (NT), vedtrappmossa (NT), dropptaggsvamp (S), korallblylav (S), skuggblåslav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4454"/>
            <wp:docPr id="1" name="Picture 1"/>
            <wp:cNvGraphicFramePr>
              <a:graphicFrameLocks noChangeAspect="1"/>
            </wp:cNvGraphicFramePr>
            <a:graphic>
              <a:graphicData uri="http://schemas.openxmlformats.org/drawingml/2006/picture">
                <pic:pic>
                  <pic:nvPicPr>
                    <pic:cNvPr id="0" name="A 39627-2023 karta.png"/>
                    <pic:cNvPicPr/>
                  </pic:nvPicPr>
                  <pic:blipFill>
                    <a:blip r:embed="rId16"/>
                    <a:stretch>
                      <a:fillRect/>
                    </a:stretch>
                  </pic:blipFill>
                  <pic:spPr>
                    <a:xfrm>
                      <a:off x="0" y="0"/>
                      <a:ext cx="5486400" cy="2864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6656224, E 412697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Smal trollknäppare (VU)</w:t>
      </w:r>
      <w:r>
        <w:t xml:space="preserve"> förekommer främst i områden med gammal, orörd barrnaturskog. Den gynnas av skogsbränder. Med dagens storskaliga skogsbruk har den svårt att överleva på sikt. Spara områden med tallnaturskog och gammal barrskog, även bränd sådan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