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15219-2025 i Hagfors kommun</w:t>
      </w:r>
    </w:p>
    <w:p>
      <w:r>
        <w:t>Detta dokument behandlar höga naturvärden i avverkningsanmälan A 15219-2025 i Hagfors kommun. Denna avverkningsanmälan inkom 2025-03-28 13:56:57 och omfattar 15,8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borsttagging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5901"/>
            <wp:docPr id="1" name="Picture 1"/>
            <wp:cNvGraphicFramePr>
              <a:graphicFrameLocks noChangeAspect="1"/>
            </wp:cNvGraphicFramePr>
            <a:graphic>
              <a:graphicData uri="http://schemas.openxmlformats.org/drawingml/2006/picture">
                <pic:pic>
                  <pic:nvPicPr>
                    <pic:cNvPr id="0" name="A 15219-2025 karta.png"/>
                    <pic:cNvPicPr/>
                  </pic:nvPicPr>
                  <pic:blipFill>
                    <a:blip r:embed="rId16"/>
                    <a:stretch>
                      <a:fillRect/>
                    </a:stretch>
                  </pic:blipFill>
                  <pic:spPr>
                    <a:xfrm>
                      <a:off x="0" y="0"/>
                      <a:ext cx="5486400" cy="6535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6649118, E 432135 i SWEREF 99 TM.</w:t>
      </w:r>
    </w:p>
    <w:p>
      <w:r>
        <w:rPr>
          <w:b/>
        </w:rPr>
        <w:t>Borsttagging (VU)</w:t>
      </w:r>
      <w:r>
        <w:t xml:space="preserve"> är en sällsynt art som växer på såväl levande som döda stammar av lövträd, mest asp och sälg, ibland även på al och alm. Den indikerar gamla och lövträdslika skogsmiljöer med konstant hög och jämn luftfuktighet. Svampen är mycket känslig för all form av avverkning och dränering som kan orsaka ett torrare mikroklimat på växtplatsen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