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21457-2024 i Hagfors kommun</w:t>
      </w:r>
    </w:p>
    <w:p>
      <w:r>
        <w:t>Detta klagomål behandlar höga naturvärden i avverkningsanmälan A 21457-2024 i Hagfors kommun som inkom 2024-05-29 och omfattar 5,4 ha.</w:t>
      </w:r>
    </w:p>
    <w:p>
      <w:pPr>
        <w:pStyle w:val="Caption"/>
      </w:pPr>
      <w:r>
        <w:drawing>
          <wp:inline xmlns:a="http://schemas.openxmlformats.org/drawingml/2006/main" xmlns:pic="http://schemas.openxmlformats.org/drawingml/2006/picture">
            <wp:extent cx="5486400" cy="5332473"/>
            <wp:docPr id="1" name="Picture 1"/>
            <wp:cNvGraphicFramePr>
              <a:graphicFrameLocks noChangeAspect="1"/>
            </wp:cNvGraphicFramePr>
            <a:graphic>
              <a:graphicData uri="http://schemas.openxmlformats.org/drawingml/2006/picture">
                <pic:pic>
                  <pic:nvPicPr>
                    <pic:cNvPr id="0" name="A 21457-2024 karta.png"/>
                    <pic:cNvPicPr/>
                  </pic:nvPicPr>
                  <pic:blipFill>
                    <a:blip r:embed="rId16"/>
                    <a:stretch>
                      <a:fillRect/>
                    </a:stretch>
                  </pic:blipFill>
                  <pic:spPr>
                    <a:xfrm>
                      <a:off x="0" y="0"/>
                      <a:ext cx="5486400" cy="533247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6655028, E 418614 i SWEREF 99 TM.</w:t>
      </w:r>
    </w:p>
    <w:p>
      <w:r>
        <w:t>I avverkningsanmälan finns fynd av 4 naturvårdsarter, varav 2 är rödlistade, 2 är fridlysta och 2 är typiska (T): blanksvart spiklav (NT), gammelgransskål (NT, T), spillkråka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