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54844-2024 i Hagfors kommun</w:t>
      </w:r>
    </w:p>
    <w:p>
      <w:r>
        <w:t>Detta klagomål behandlar höga naturvärden i avverkningsanmälan A 54844-2024 i Hagfors kommun som inkom 2024-11-22 och omfattar 12,8 ha.</w:t>
      </w:r>
    </w:p>
    <w:p>
      <w:pPr>
        <w:pStyle w:val="Caption"/>
      </w:pPr>
      <w:r>
        <w:drawing>
          <wp:inline xmlns:a="http://schemas.openxmlformats.org/drawingml/2006/main" xmlns:pic="http://schemas.openxmlformats.org/drawingml/2006/picture">
            <wp:extent cx="4238907" cy="5724000"/>
            <wp:docPr id="1" name="Picture 1"/>
            <wp:cNvGraphicFramePr>
              <a:graphicFrameLocks noChangeAspect="1"/>
            </wp:cNvGraphicFramePr>
            <a:graphic>
              <a:graphicData uri="http://schemas.openxmlformats.org/drawingml/2006/picture">
                <pic:pic>
                  <pic:nvPicPr>
                    <pic:cNvPr id="0" name="A 54844-2024 karta.png"/>
                    <pic:cNvPicPr/>
                  </pic:nvPicPr>
                  <pic:blipFill>
                    <a:blip r:embed="rId16"/>
                    <a:stretch>
                      <a:fillRect/>
                    </a:stretch>
                  </pic:blipFill>
                  <pic:spPr>
                    <a:xfrm>
                      <a:off x="0" y="0"/>
                      <a:ext cx="4238907" cy="5724000"/>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6657568, E 419827 i SWEREF 99 TM.</w:t>
      </w:r>
    </w:p>
    <w:p>
      <w:r>
        <w:t>I och inom 20 meter från avverkningsanmälan finns fynd av 11 naturvårdsarter, varav 7 är rödlistade, 2 är fridlysta, 9 är typiska (T) och 3 är signalarter (S): garnlav (VU, T), gränsticka (VU, T), knärot (VU, T, §8), gammelgransskål (NT, T), rosenticka (NT, T), ullticka (NT, T), vedtrappmossa (NT, T), björksplintborre (S), vedticka (S, T), vågbandad barkbock (S)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0.55 ha med buffertzonerna och får av detta skäl inte avverkas.</w:t>
      </w:r>
    </w:p>
    <w:p>
      <w:pPr>
        <w:pStyle w:val="Caption"/>
      </w:pPr>
      <w:r>
        <w:drawing>
          <wp:inline xmlns:a="http://schemas.openxmlformats.org/drawingml/2006/main" xmlns:pic="http://schemas.openxmlformats.org/drawingml/2006/picture">
            <wp:extent cx="5486400" cy="10972800"/>
            <wp:docPr id="2" name="Picture 2"/>
            <wp:cNvGraphicFramePr>
              <a:graphicFrameLocks noChangeAspect="1"/>
            </wp:cNvGraphicFramePr>
            <a:graphic>
              <a:graphicData uri="http://schemas.openxmlformats.org/drawingml/2006/picture">
                <pic:pic>
                  <pic:nvPicPr>
                    <pic:cNvPr id="0" name="A 54844-2024 karta knärot.png"/>
                    <pic:cNvPicPr/>
                  </pic:nvPicPr>
                  <pic:blipFill>
                    <a:blip r:embed="rId17"/>
                    <a:stretch>
                      <a:fillRect/>
                    </a:stretch>
                  </pic:blipFill>
                  <pic:spPr>
                    <a:xfrm>
                      <a:off x="0" y="0"/>
                      <a:ext cx="5486400" cy="1097280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6657568, E 419827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