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46698-2021 i Hagfors kommun</w:t>
      </w:r>
    </w:p>
    <w:p>
      <w:r>
        <w:t>Detta dokument behandlar höga naturvärden i avverkningsanmälan A 46698-2021 i Hagfors kommun. Denna avverkningsanmälan inkom 2021-09-06 och omfattar 8,3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rödlistade arter.</w:t>
      </w:r>
    </w:p>
    <w:p>
      <w:pPr>
        <w:pStyle w:val="Heading1"/>
      </w:pPr>
      <w:r>
        <w:t>Naturvårdsarter</w:t>
      </w:r>
    </w:p>
    <w:p>
      <w:r>
        <w:t>I avverkningsanmälan har följande 8 naturvårdsarter hittats: garnlav (NT), kolflarnlav (NT), lunglav (NT), mörk kolflarnlav (NT), vedskivlav (NT), korallblylav (S), spindelblomster (S, §8) och stuplav (S). Av dessa är 5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447260"/>
            <wp:docPr id="1" name="Picture 1"/>
            <wp:cNvGraphicFramePr>
              <a:graphicFrameLocks noChangeAspect="1"/>
            </wp:cNvGraphicFramePr>
            <a:graphic>
              <a:graphicData uri="http://schemas.openxmlformats.org/drawingml/2006/picture">
                <pic:pic>
                  <pic:nvPicPr>
                    <pic:cNvPr id="0" name="A 46698-2021 karta.png"/>
                    <pic:cNvPicPr/>
                  </pic:nvPicPr>
                  <pic:blipFill>
                    <a:blip r:embed="rId16"/>
                    <a:stretch>
                      <a:fillRect/>
                    </a:stretch>
                  </pic:blipFill>
                  <pic:spPr>
                    <a:xfrm>
                      <a:off x="0" y="0"/>
                      <a:ext cx="5486400" cy="544726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6672196, E 438414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(SLU Artdatabanken, 2024).</w:t>
      </w:r>
    </w:p>
    <w:p>
      <w:r>
        <w:rPr>
          <w:b/>
        </w:rPr>
        <w:t>Korallblylav</w:t>
      </w:r>
      <w:r>
        <w:t xml:space="preserve"> växer på bark av asp, ask, rönn, sälg, bok och lönn och signalerar överallt skogsbestånd med höga naturvärden och den följs nästan alltid av andra ovanliga och rödlistade arter. Den indikerar hög och jämn luftfuktighet och växer främst i områden med lång skoglig kontinuitet där det funnits ett ständigt inslag av gamla lövträd (SLU Artdatabanken, 2024; Nitare &amp; Skogsstyrelsen, 2019).</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rPr>
          <w:b/>
        </w:rPr>
        <w:t>Mörk kolflarnlav (NT)</w:t>
      </w:r>
      <w:r>
        <w:t xml:space="preserve"> är brandberoende och växer nästan uteslutande på kolad hård kärnved av tall. Arten förekommer främst i glesa, öppna tall- och blandbarrskogar av naturskogskaraktär och etableringen verkar ske sent efter brand, kanske först efter 100–300 år. Mörk kolflarnlav indikerar skog med höga naturvärden och vanligast är att den påträffas på rester av nedbrunna torrakor och högstubbar och lågstubbar som är så grova att hela innandömet är urbränt. Tall- och blandbarrskogar av naturskogskaraktär med spår av återkommande bränder hyser höga biologiska värden och bör skyddas (SLU Artdatabanken, 2024).</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(SLU Artdatabanken, 2024; Nitare &amp; Skogsstyrelsen, 2019).</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(SLU Artdatabanken, 2024).</w:t>
      </w:r>
    </w:p>
    <w:p>
      <w:pPr>
        <w:pStyle w:val="Heading1"/>
      </w:pPr>
      <w:r>
        <w:t>Fridlysta arter</w:t>
      </w:r>
    </w:p>
    <w:p>
      <w:r>
        <w:t>Följande fridlysta arter har sina livsmiljöer och växtplatser i den avverkningsanmälda skogen: spindelblomster (S, §8).</w:t>
      </w:r>
    </w:p>
    <w:p>
      <w:r>
        <w:rPr>
          <w:b/>
        </w:rPr>
        <w:t>Spindelblomster (§8)</w:t>
      </w:r>
      <w:r>
        <w:t xml:space="preserve"> växer i äldre mossrik granskog eller barrblandskog, men även i fjällbjörkskog. Arten indikerar långvarig trädkontinuitet och hög luftfuktighet och är mycket känslig för uttorkning och markskador. Spindelblomster har i många trakter minskat starkt under senare tid på grund av slutavverkningar och skogsmarksdikning (Nitare &amp; Skogsstyrelsen, 2019).</w:t>
      </w:r>
    </w:p>
    <w:p>
      <w:r>
        <w:br w:type="page"/>
      </w:r>
    </w:p>
    <w:p>
      <w:pPr>
        <w:pStyle w:val="Title"/>
      </w:pPr>
      <w:r>
        <w:t>BILAGA 1 –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2025-05-30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