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4153-2023 i Hagfors kommun</w:t>
      </w:r>
    </w:p>
    <w:p>
      <w:r>
        <w:t>Detta klagomål behandlar höga naturvärden i samrådsanmälan S 4153-2023 i Hagfors kommun som inkom 2023-11-17 och omfattar 17,2 ha.</w:t>
      </w:r>
    </w:p>
    <w:p>
      <w:pPr>
        <w:pStyle w:val="Caption"/>
      </w:pPr>
      <w:r>
        <w:drawing>
          <wp:inline xmlns:a="http://schemas.openxmlformats.org/drawingml/2006/main" xmlns:pic="http://schemas.openxmlformats.org/drawingml/2006/picture">
            <wp:extent cx="5486400" cy="4771496"/>
            <wp:docPr id="1" name="Picture 1"/>
            <wp:cNvGraphicFramePr>
              <a:graphicFrameLocks noChangeAspect="1"/>
            </wp:cNvGraphicFramePr>
            <a:graphic>
              <a:graphicData uri="http://schemas.openxmlformats.org/drawingml/2006/picture">
                <pic:pic>
                  <pic:nvPicPr>
                    <pic:cNvPr id="0" name="S 4153-2023 karta.png"/>
                    <pic:cNvPicPr/>
                  </pic:nvPicPr>
                  <pic:blipFill>
                    <a:blip r:embed="rId16"/>
                    <a:stretch>
                      <a:fillRect/>
                    </a:stretch>
                  </pic:blipFill>
                  <pic:spPr>
                    <a:xfrm>
                      <a:off x="0" y="0"/>
                      <a:ext cx="5486400" cy="4771496"/>
                    </a:xfrm>
                    <a:prstGeom prst="rect"/>
                  </pic:spPr>
                </pic:pic>
              </a:graphicData>
            </a:graphic>
          </wp:inline>
        </w:drawing>
      </w:r>
    </w:p>
    <w:p>
      <w:pPr>
        <w:pStyle w:val="Caption"/>
        <w:spacing w:after="240"/>
      </w:pPr>
      <w:r>
        <w:t>Figur 1. Fyndplatser för naturvårdsarter i och inom 15 meter från samrådsanmälan. Markörer utan svart kant är placerade på fyndplatsen. Markörer med svart kant är placerade vid sidan av fyndplatsen och har ett svart streck som visar fyndplatsens exakta position. Kartans mittpunktskoordinat är N 6652296, E 425520 i SWEREF 99 TM.</w:t>
      </w:r>
    </w:p>
    <w:p>
      <w:r>
        <w:t>I och inom 15 meter från samrådsanmälan finns fynd av 2 naturvårdsarter, varav 1 är rödlistad och 2 är fridlysta: sparvuggla (NT, §4) och orre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Sparvuggla (NT, §4)</w:t>
      </w:r>
      <w:r>
        <w:t xml:space="preserve"> är fridlyst enligt 4§ artskyddsförordningen och omfattas av bilaga 1 EU:s fågeldirektiv. Den har minskat med 15 (5–25) % under de senaste 15 åren och minskningstakten för den svenska populationen bedöms vara nära gränsvärdet för Sårbar (VU).  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Sparvuggla – ekologi samt krav på livsmiljön</w:t>
      </w:r>
    </w:p>
    <w:p>
      <w:r>
        <w:t>Sparvuggla (NT, §4) är fridlyst enligt 4§ artskyddsförordningen och omfattas av bilaga 1 EU:s fågeldirektiv. Den har minskat med 15 (5–25) % under de senaste 15 åren och minskningstakten för den svenska populationen bedöms vara nära gränsvärdet för Sårbar (VU) (SLU Artdatabanken 2026).</w:t>
      </w:r>
    </w:p>
    <w:p>
      <w:r>
        <w:t>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