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17088-2026 i Arvika kommun</w:t>
      </w:r>
    </w:p>
    <w:p>
      <w:r>
        <w:t>Detta klagomål behandlar höga naturvärden i avverkningsanmälan A 17088-2026 i Arvika kommun som inkom 2026-04-02 och omfattar 4,6 ha.</w:t>
      </w:r>
    </w:p>
    <w:p>
      <w:pPr>
        <w:pStyle w:val="Caption"/>
      </w:pPr>
      <w:r>
        <w:drawing>
          <wp:inline xmlns:a="http://schemas.openxmlformats.org/drawingml/2006/main" xmlns:pic="http://schemas.openxmlformats.org/drawingml/2006/picture">
            <wp:extent cx="5486400" cy="4504127"/>
            <wp:docPr id="1" name="Picture 1"/>
            <wp:cNvGraphicFramePr>
              <a:graphicFrameLocks noChangeAspect="1"/>
            </wp:cNvGraphicFramePr>
            <a:graphic>
              <a:graphicData uri="http://schemas.openxmlformats.org/drawingml/2006/picture">
                <pic:pic>
                  <pic:nvPicPr>
                    <pic:cNvPr id="0" name="A 17088-2026 karta.png"/>
                    <pic:cNvPicPr/>
                  </pic:nvPicPr>
                  <pic:blipFill>
                    <a:blip r:embed="rId16"/>
                    <a:stretch>
                      <a:fillRect/>
                    </a:stretch>
                  </pic:blipFill>
                  <pic:spPr>
                    <a:xfrm>
                      <a:off x="0" y="0"/>
                      <a:ext cx="5486400" cy="4504127"/>
                    </a:xfrm>
                    <a:prstGeom prst="rect"/>
                  </pic:spPr>
                </pic:pic>
              </a:graphicData>
            </a:graphic>
          </wp:inline>
        </w:drawing>
      </w:r>
    </w:p>
    <w:p>
      <w:pPr>
        <w:pStyle w:val="Caption"/>
        <w:spacing w:after="240"/>
      </w:pPr>
      <w:r>
        <w:t>Figur 1. Fyndplatser för naturvårdsarter inom 9 meter från avverkningsanmälan. Markörer utan svart kant är placerade på fyndplatsen. Markörer med svart kant är placerade vid sidan av fyndplatsen och har ett svart streck som visar fyndplatsens exakta position. Kartans mittpunktskoordinat är N 6602657, E 359342 i SWEREF 99 TM.</w:t>
      </w:r>
    </w:p>
    <w:p>
      <w:r>
        <w:t>Inom 9 meter från avverkningsanmälan finns fynd av 1 naturvårdsarter, varav 1 är rödlistad och 1 är typisk (T): dunmossa (NT,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Dunmossa (NT)</w:t>
      </w:r>
      <w:r>
        <w:t xml:space="preserve"> är en mycket bra signalart för källpåverkad skogsmark med höga naturvärden och är placerad högst upp i Skogsstyrelsens värdepyramid för bedömning av skog med höga naturvärden. Den växer i skuggiga kärr, särskilt källkärr och bäckstränder påverkade av ytligt grundvatten och tål inte uttorkning. Miljön är ofta något näringsrik och den återfinns särskilt i klibbalkärr, men även i örtrika barr- och blandsumpskogar påverkade av rörligt markvatten. Avverkning på lokalerna och reglering av vattenföring i små vattendrag i sydsvenska skogsområden kan riskera att snabbt minska antalet lokaler för arten. Arten har minskat kraftigt under de senaste åren och minskningstakten för den svenska populationen bedöms vara nära gränsvärdet för Sårbar (VU). Dunmossa är typisk art för </w:t>
      </w:r>
      <w:r>
        <w:rPr>
          <w:i/>
        </w:rPr>
        <w:t>9080 Lövsumpskog, 9750 Svämlövskog</w:t>
      </w:r>
      <w:r>
        <w:t xml:space="preserve"> och</w:t>
      </w:r>
      <w:r>
        <w:rPr>
          <w:i/>
        </w:rPr>
        <w:t xml:space="preserve"> 7160 Källor och källkärr</w:t>
      </w:r>
      <w:r>
        <w:t xml:space="preserve"> samt rödlistad som nära hotad (NT) på den europeiska rödlistan vilket medför ett internationellt ansvar för arten (SLU Artdatabanken, 2026; Nitare &amp; Skogsstyrelsen, 2019; IUCN, 2017).</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2026-10-28</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