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1506-2024 i Arvika kommun</w:t>
      </w:r>
    </w:p>
    <w:p>
      <w:r>
        <w:t>Denna tillsynsbegäran behandlar höga naturvärden i avverkningsanmälan A 1506-2024 i Arvika kommun som inkom 2024-01-15 och omfattar 11,3 ha.</w:t>
      </w:r>
    </w:p>
    <w:p>
      <w:pPr>
        <w:pStyle w:val="Caption"/>
      </w:pPr>
      <w:r>
        <w:drawing>
          <wp:inline xmlns:a="http://schemas.openxmlformats.org/drawingml/2006/main" xmlns:pic="http://schemas.openxmlformats.org/drawingml/2006/picture">
            <wp:extent cx="5486400" cy="4666268"/>
            <wp:docPr id="1" name="Picture 1"/>
            <wp:cNvGraphicFramePr>
              <a:graphicFrameLocks noChangeAspect="1"/>
            </wp:cNvGraphicFramePr>
            <a:graphic>
              <a:graphicData uri="http://schemas.openxmlformats.org/drawingml/2006/picture">
                <pic:pic>
                  <pic:nvPicPr>
                    <pic:cNvPr id="0" name="A 1506-2024 karta.png"/>
                    <pic:cNvPicPr/>
                  </pic:nvPicPr>
                  <pic:blipFill>
                    <a:blip r:embed="rId16"/>
                    <a:stretch>
                      <a:fillRect/>
                    </a:stretch>
                  </pic:blipFill>
                  <pic:spPr>
                    <a:xfrm>
                      <a:off x="0" y="0"/>
                      <a:ext cx="5486400" cy="466626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6615779, E 350157 i SWEREF 99 TM.</w:t>
      </w:r>
    </w:p>
    <w:p>
      <w:r>
        <w:t>I och inom 22 meter från avverkningsanmälan finns fynd av 4 naturvårdsarter, varav 2 är fridlysta, 3 är typiska (T) och 2 är signalarter (S): bronshjon (S, T), stuplav (S, T), mattlummer (T, §9)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