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63034-2025 i Arvika kommun</w:t>
      </w:r>
    </w:p>
    <w:p>
      <w:r>
        <w:t>Detta dokument behandlar höga naturvärden i avverkningsanmälan A 63034-2025 i Arvika kommun som inkom 2025-12-18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4 meter från avverkningsanmälan har följande 6 naturvårdsarter hittats: apelticka (VU), motaggsvamp (NT, T), tretåig hackspett (NT, T, §4), vedskivlav (NT, T), bårdlav (S, T) och slanklav (S, T). Av dessa är 4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4892462" cy="5688000"/>
            <wp:docPr id="1" name="Picture 1"/>
            <wp:cNvGraphicFramePr>
              <a:graphicFrameLocks noChangeAspect="1"/>
            </wp:cNvGraphicFramePr>
            <a:graphic>
              <a:graphicData uri="http://schemas.openxmlformats.org/drawingml/2006/picture">
                <pic:pic>
                  <pic:nvPicPr>
                    <pic:cNvPr id="0" name="A 63034-2025 karta.png"/>
                    <pic:cNvPicPr/>
                  </pic:nvPicPr>
                  <pic:blipFill>
                    <a:blip r:embed="rId16"/>
                    <a:stretch>
                      <a:fillRect/>
                    </a:stretch>
                  </pic:blipFill>
                  <pic:spPr>
                    <a:xfrm>
                      <a:off x="0" y="0"/>
                      <a:ext cx="4892462" cy="5688000"/>
                    </a:xfrm>
                    <a:prstGeom prst="rect"/>
                  </pic:spPr>
                </pic:pic>
              </a:graphicData>
            </a:graphic>
          </wp:inline>
        </w:drawing>
      </w:r>
    </w:p>
    <w:p>
      <w:pPr>
        <w:pStyle w:val="Caption"/>
        <w:spacing w:after="240"/>
      </w:pPr>
      <w:r>
        <w:t>Figur 1. Fyndplatser för naturvårdsarter i och inom 4 meter från avverkningsanmälan (röd linje). Markörer utan svart kant är placerade på fyndplatsen. Markörer med svart kant är placerade vid sidan av fyndplatsen och har ett svart streck som visar fyndplatsens exakta position. Kartans mittpunktskoordinat är N 6612603, E 350795 i SWEREF 99 TM.</w:t>
      </w:r>
    </w:p>
    <w:p>
      <w:pPr>
        <w:pStyle w:val="Heading2"/>
      </w:pPr>
      <w:r>
        <w:t>Fridlysta arter</w:t>
      </w:r>
    </w:p>
    <w:p>
      <w:r>
        <w:t>Följande fridlysta arter har sina livsmiljöer och växtplatser i den avverkningsanmälda skogen: tretåig hackspett (NT,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 xml:space="preserve">Apelticka (VU) </w:t>
      </w:r>
      <w:r>
        <w:t>är en nedbrytare i gamla, levande, skadade, ibland döda, stammar av asp, ask, apel i hagmark, parker, alléer, trädgårdar samt i löv- och blandskog. Arten hotas av avverkning av värdträd och passande värdträd på svampens växtplatser. Även minskad tillgång på asp i skogslandskapet missgynnar arten. I kulturlandskapet måste särskilt gamla aplar och askar bevaras. I skogsmiljö måste fler bestånd med grov asp få möjlighet att fortleva. Vid skötsel av parker och alléer bör träd med den vedrötande apeltickan sparas så länge det är möjligt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Slanklav</w:t>
      </w:r>
      <w:r>
        <w:t xml:space="preserve"> är typisk art för </w:t>
      </w:r>
      <w:r>
        <w:rPr>
          <w:i/>
        </w:rPr>
        <w:t xml:space="preserve">9020 Nordlig ädellövskog, 9180 Ädellövskog i branter, 9070 Trädklädd betesmark </w:t>
      </w:r>
      <w:r>
        <w:t xml:space="preserve">och </w:t>
      </w:r>
      <w:r>
        <w:rPr>
          <w:i/>
        </w:rPr>
        <w:t xml:space="preserve">8230 Hällmarkstorräng </w:t>
      </w:r>
      <w:r>
        <w:t>(SLU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