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5535-2026 i Arvika kommun</w:t>
      </w:r>
    </w:p>
    <w:p>
      <w:r>
        <w:t>Detta dokument behandlar höga naturvärden i avverkningsanmälan A 5535-2026 i Arvika kommun. Denna avverkningsanmälan inkom 2026-01-27 00:00:00 och omfattar 7,2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25 naturvårdsarter hittats: aspgelélav (VU), knärot (VU, §8), rynkskinn (VU), garnlav (NT), kötticka (NT), motaggsvamp (NT), spillkråka (NT, §4), tallticka (NT), vintertagging (NT), vitgrynig nållav (NT), björksplintborre (S), bronshjon (S), bårdlav (S), kattfotslav (S), korallblylav (S), kornig nållav (S), skarp dropptaggsvamp (S), skinnlav (S), slanklav (S), stuplav (S), thomsons trägnagare (S), vedticka (S), vågbandad barkbock (S), orre (§4) och tjäder (§4).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40561"/>
            <wp:docPr id="1" name="Picture 1"/>
            <wp:cNvGraphicFramePr>
              <a:graphicFrameLocks noChangeAspect="1"/>
            </wp:cNvGraphicFramePr>
            <a:graphic>
              <a:graphicData uri="http://schemas.openxmlformats.org/drawingml/2006/picture">
                <pic:pic>
                  <pic:nvPicPr>
                    <pic:cNvPr id="0" name="A 5535-2026 karta.png"/>
                    <pic:cNvPicPr/>
                  </pic:nvPicPr>
                  <pic:blipFill>
                    <a:blip r:embed="rId16"/>
                    <a:stretch>
                      <a:fillRect/>
                    </a:stretch>
                  </pic:blipFill>
                  <pic:spPr>
                    <a:xfrm>
                      <a:off x="0" y="0"/>
                      <a:ext cx="5486400" cy="75405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6617837, E 387610 i SWEREF 99 TM.</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2025;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 xml:space="preserve">Kattfotslav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Arten har minskat kraftigt under de senaste åren och enligt artdatabankens preliminära bedömning kommer den att bli rödlistad som nära hotad (NT) i nästa rödlista som kommer 2026 (Nitare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Rynkskinn (VU)</w:t>
      </w:r>
      <w:r>
        <w:t xml:space="preserve">,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Rynkskinn är typisk art för </w:t>
      </w:r>
      <w:r>
        <w:rPr>
          <w:i/>
        </w:rPr>
        <w:t xml:space="preserve">9010 Taiga, 9050 Näringsrik granskog </w:t>
      </w:r>
      <w:r>
        <w:t>och</w:t>
      </w:r>
      <w:r>
        <w:rPr>
          <w:i/>
        </w:rPr>
        <w:t xml:space="preserve"> 9030 Landhöjningsskog</w:t>
      </w:r>
      <w:r>
        <w:t xml:space="preserve"> (Nitare &amp; Skogsstyrelsen, 2019;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Slanklav</w:t>
      </w:r>
      <w:r>
        <w:t xml:space="preserve"> är typisk art för </w:t>
      </w:r>
      <w:r>
        <w:rPr>
          <w:i/>
        </w:rPr>
        <w:t xml:space="preserve">9020 Nordlig ädellövskog, 9180 Ädellövskog i branter, 9070 Trädklädd betesmark </w:t>
      </w:r>
      <w:r>
        <w:t xml:space="preserve">och </w:t>
      </w:r>
      <w:r>
        <w:rPr>
          <w:i/>
        </w:rPr>
        <w:t xml:space="preserve">8230 Hällmarkstorräng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Stuplav är typisk art för </w:t>
      </w:r>
      <w:r>
        <w:rPr>
          <w:i/>
        </w:rPr>
        <w:t>9010 Taiga</w:t>
      </w:r>
      <w:r>
        <w:t xml:space="preserve">.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knärot (VU, §8), spillkråka (NT, §4), orre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1.74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5535-2026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6617837, E 387610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