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26495-2020 i Arvika kommun</w:t>
      </w:r>
    </w:p>
    <w:p>
      <w:r>
        <w:t>Detta dokument behandlar höga naturvärden i avverkningsanmälan A 26495-2020 i Arvika kommun. Denna avverkningsanmälan inkom 2020-06-05 och omfattar 0,9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11 naturvårdsarter hittats: knärot (VU, §8), tallticka (NT), ullticka (NT), blåsfliksmossa (S), bårdlav (S), jättesvampmal (S), platt fjädermossa (S), rävticka (S), stubbspretmossa (S), vedticka (S) och vågbandad barkbock (S).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7529"/>
            <wp:docPr id="1" name="Picture 1"/>
            <wp:cNvGraphicFramePr>
              <a:graphicFrameLocks noChangeAspect="1"/>
            </wp:cNvGraphicFramePr>
            <a:graphic>
              <a:graphicData uri="http://schemas.openxmlformats.org/drawingml/2006/picture">
                <pic:pic>
                  <pic:nvPicPr>
                    <pic:cNvPr id="0" name="A 26495-2020 karta.png"/>
                    <pic:cNvPicPr/>
                  </pic:nvPicPr>
                  <pic:blipFill>
                    <a:blip r:embed="rId16"/>
                    <a:stretch>
                      <a:fillRect/>
                    </a:stretch>
                  </pic:blipFill>
                  <pic:spPr>
                    <a:xfrm>
                      <a:off x="0" y="0"/>
                      <a:ext cx="5486400" cy="41675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6624728, E 368221 i SWEREF 99 TM.</w:t>
      </w:r>
    </w:p>
    <w:p>
      <w:r>
        <w:rPr>
          <w:b/>
        </w:rPr>
        <w:t>Stubbspretmossa</w:t>
      </w:r>
      <w:r>
        <w:t xml:space="preserve"> växer på ved i rika löv- och barrskogar med relativt hög luftfuktighet och indikerar fuktiga skogsmiljöer med gott om murken ved och ofta höga naturvärden (SLU Artdatabanken, 2024).</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tre olika arter: </w:t>
      </w:r>
      <w:r>
        <w:rPr>
          <w:i/>
        </w:rPr>
        <w:t xml:space="preserve">Skeletocutis brevispora </w:t>
      </w:r>
      <w:r>
        <w:t>(ulltickeporing)</w:t>
      </w:r>
      <w:r>
        <w:rPr>
          <w:i/>
        </w:rPr>
        <w:t>, Skeletocutis delicata och Skeletocutis exilis</w:t>
      </w:r>
      <w:r>
        <w:t>. De två sistnämnda arterna står för närvarande (2020) som ej bedömda i rödlistan (SLU Artdatabanken, 2024; Nitare &amp; Skogsstyrelsen, 2019; Miettinen &amp; Niemelä, 2018).</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0.59 ha med buffertzonerna och får av detta skäl inte avverkas.</w:t>
      </w:r>
    </w:p>
    <w:p>
      <w:pPr>
        <w:pStyle w:val="Caption"/>
      </w:pPr>
      <w:r>
        <w:drawing>
          <wp:inline xmlns:a="http://schemas.openxmlformats.org/drawingml/2006/main" xmlns:pic="http://schemas.openxmlformats.org/drawingml/2006/picture">
            <wp:extent cx="5486400" cy="4972244"/>
            <wp:docPr id="2" name="Picture 2"/>
            <wp:cNvGraphicFramePr>
              <a:graphicFrameLocks noChangeAspect="1"/>
            </wp:cNvGraphicFramePr>
            <a:graphic>
              <a:graphicData uri="http://schemas.openxmlformats.org/drawingml/2006/picture">
                <pic:pic>
                  <pic:nvPicPr>
                    <pic:cNvPr id="0" name="A 26495-2020 karta knärot.png"/>
                    <pic:cNvPicPr/>
                  </pic:nvPicPr>
                  <pic:blipFill>
                    <a:blip r:embed="rId17"/>
                    <a:stretch>
                      <a:fillRect/>
                    </a:stretch>
                  </pic:blipFill>
                  <pic:spPr>
                    <a:xfrm>
                      <a:off x="0" y="0"/>
                      <a:ext cx="5486400" cy="49722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6624728, E 368221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11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