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44253-2025 i Säffle kommun</w:t>
      </w:r>
    </w:p>
    <w:p>
      <w:r>
        <w:t>Detta dokument behandlar höga naturvärden i avverkningsanmälan A 44253-2025 i Säffle kommun. Denna avverkningsanmälan inkom 2025-09-15 17:03:06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luddfingersvamp (NT), svinrot (NT), huggorm (§6), vanlig groda (§6), vanlig snok (§6), nattviol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4253-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6557385, E 376264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Fridlysta arter</w:t>
      </w:r>
    </w:p>
    <w:p>
      <w:r>
        <w:t>Följande fridlysta arter har sina livsmiljöer och växtplatser i den avverkningsanmälda skogen: huggorm (§6), vanlig groda (§6), vanlig snok (§6), nattviol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