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1069-2025 i Säffle kommun</w:t>
      </w:r>
    </w:p>
    <w:p>
      <w:r>
        <w:t>Detta dokument behandlar höga naturvärden i avverkningsanmälan A 1069-2025 i Säffle kommun. Denna avverkningsanmälan inkom 2025-01-08 00:00:00 och omfattar 29,3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liten blekspik (VU), doftskinn (NT), garnlav (NT), järpe (NT, §4), kolflarnlav (NT), kortskaftad ärgspik (NT), vedskivlav (NT), vedtrappmossa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069-2025 karta.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6564348, E 355395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Liten blekspik (VU)</w:t>
      </w:r>
      <w:r>
        <w:t xml:space="preserve"> växer på lövträdsbark och ved i lägen med hög luftfuktighet. I norra Sverige hittas arten vanligtvis på gammal björk, al och sälg medan den i Syd- och Mellansverige oftast växer på ask, alm, lönn och ek. Avverkning av alléer och hamlade träd, almsjuka och askskottssjukan är hot i södra och mellersta Sverige. De nordliga förekomsterna hotas av avverkning och bör skyddas. Alla blekspikar av släktet </w:t>
      </w:r>
      <w:r>
        <w:rPr>
          <w:i/>
        </w:rPr>
        <w:t>Sclerophora</w:t>
      </w:r>
      <w:r>
        <w:t xml:space="preserve"> ​​​​är utmärkta signalarter för gamla träd och skogsområden med höga naturvärden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