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som inkom 2025-09-15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T, §4), svinrot (NT), mattlummer (T, §9), kungsfågel (§4), huggorm (§6), vanlig groda (§6), vanlig snok (§6) och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6557385, E 376264 i SWEREF 99 TM.</w:t>
      </w:r>
    </w:p>
    <w:p>
      <w:pPr>
        <w:pStyle w:val="Heading2"/>
      </w:pPr>
      <w:r>
        <w:t>Fridlysta arter</w:t>
      </w:r>
    </w:p>
    <w:p>
      <w:r>
        <w:t>Följande fridlysta arter har sina livsmiljöer och växtplatser i den avverkningsanmälda skogen: mindre hackspett (NT, T, §4), mattlummer (T, §9), kungsfågel (§4), huggorm (§6), vanlig groda (§6), vanlig snok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