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1413-2026 i Lekebergs kommun</w:t>
      </w:r>
    </w:p>
    <w:p>
      <w:r>
        <w:t>Detta klagomål behandlar höga naturvärden i samrådsanmälan S 1413-2026 i Lekebergs kommun som inkom 2026-05-13 och omfattar 7,2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S 1413-2026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6567571, E 495514 i SWEREF 99 TM.</w:t>
      </w:r>
    </w:p>
    <w:p>
      <w:r>
        <w:t>I och inom 20 meter från samrådsanmälan finns fynd av 27 naturvårdsarter, varav 11 är rödlistade, 2 är fridlysta, 4 är typiska (T) och 16 är signalarter (S): almrostöra (EN), gulvit blekspik (VU, T), klosterlav (VU), mindre blåvinge (VU), bleknande kamskivling (NT), flockig puderskivling (NT), klasefibbla (NT), mjölspindling (NT), sommarfibbla (NT), stjärnnästing (NT), svinrot (NT), dofttråding (S), guldkremla (S), gullfingersvamp (S), hasselsopp (S), hasselticka (S, T), liten baronmossa (S, T), lömsk flugsvamp (S), maskfingersvamp (S), nästrot (S, §8), papegojvaxing (S), skogsknipprot (S, T, §8), snövit fingersvamp (S), sprickskölding (S), sprödvaxing (S), svavelriska (S)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 xml:space="preserve">Flockig puderskivling (NT)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2026;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