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1413-2026 i Lekebergs kommun</w:t>
      </w:r>
    </w:p>
    <w:p>
      <w:r>
        <w:t>Detta klagomål behandlar höga naturvärden i samrådsanmälan S 1413-2026 i Lekebergs kommun som inkom 2026-05-13 och omfattar 7,2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1413-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6567571, E 495514 i SWEREF 99 TM.</w:t>
      </w:r>
    </w:p>
    <w:p>
      <w:r>
        <w:t>I och inom 20 meter från samrådsanmälan finns fynd av 27 naturvårdsarter, varav 11 är rödlistade, 2 är fridlysta, 4 är typiska (T) och 16 är signalarter (S): almrostöra (EN), gulvit blekspik (VU, T), klosterlav (VU), mindre blåvinge (VU), bleknande kamskivling (NT), flockig puderskivling (NT), klasefibbla (NT), mjölspindling (NT), sommarfibbla (NT), stjärnnästing (NT), svinrot (NT), dofttråding (S), guldkremla (S), gullfingersvamp (S), hasselsopp (S), hasselticka (S, T), liten baronmossa (S, T), lömsk flugsvamp (S), maskfingersvamp (S), nästrot (S, §8), papegojvaxing (S), skogsknipprot (S, T, §8), snövit fingersvamp (S), sprickskölding (S), sprödvaxing (S), svavelriska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Bleknande kamskivling (NT)</w:t>
      </w:r>
      <w:r>
        <w:t xml:space="preserve"> bildar mykorrhiza med ek på lerig kalkrik mark, i öppna solvarma lägen i hagmarker, lövängar och parker. En uppenbart sällsynt och iögonfallande art som växer i en väl undersökt och exklusiv miljö. Cirka hälften av de kända svenska växtplatserna finns på Gotland. Arten förefaller trivas i ljusa, halvöppna trädbestånd och har sannolikt gynnats av äldre tiders markanvändning inom jordbruket. Det är viktigt att ekbestånden, där arten finns, hålls hävdade så att ekarna inte dör på grund av igenväxning. Lokalerna får inte avverkas och planteras med andra trädslag (SLU Artdatabanken, 2026).</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