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27395-2026 i Lekebergs kommun</w:t>
      </w:r>
    </w:p>
    <w:p>
      <w:r>
        <w:t>Detta klagomål behandlar höga naturvärden i avverkningsanmälan A 27395-2026 i Lekebergs kommun som inkom 2026-06-16 och omfattar 4,7 ha.</w:t>
      </w:r>
    </w:p>
    <w:p>
      <w:pPr>
        <w:pStyle w:val="Caption"/>
      </w:pPr>
      <w:r>
        <w:drawing>
          <wp:inline xmlns:a="http://schemas.openxmlformats.org/drawingml/2006/main" xmlns:pic="http://schemas.openxmlformats.org/drawingml/2006/picture">
            <wp:extent cx="5330189" cy="5724000"/>
            <wp:docPr id="1" name="Picture 1"/>
            <wp:cNvGraphicFramePr>
              <a:graphicFrameLocks noChangeAspect="1"/>
            </wp:cNvGraphicFramePr>
            <a:graphic>
              <a:graphicData uri="http://schemas.openxmlformats.org/drawingml/2006/picture">
                <pic:pic>
                  <pic:nvPicPr>
                    <pic:cNvPr id="0" name="A 27395-2026 karta.png"/>
                    <pic:cNvPicPr/>
                  </pic:nvPicPr>
                  <pic:blipFill>
                    <a:blip r:embed="rId16"/>
                    <a:stretch>
                      <a:fillRect/>
                    </a:stretch>
                  </pic:blipFill>
                  <pic:spPr>
                    <a:xfrm>
                      <a:off x="0" y="0"/>
                      <a:ext cx="5330189"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6566460, E 481567 i SWEREF 99 TM.</w:t>
      </w:r>
    </w:p>
    <w:p>
      <w:r>
        <w:t>I och inom 11 meter från avverkningsanmälan finns fynd av 8 naturvårdsarter, varav 4 är rödlistade, 6 är fridlysta, 4 är typiska (T) och 1 är signalart (S): bivråk (NT, §4), entita (NT, T, §4), grantaggsvamp (NT), talltita (NT, §4), vedticka (S, T), spillkråka (T, §4), tofsmes (T, §4) och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