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15523-2026 i Lekebergs kommun</w:t>
      </w:r>
    </w:p>
    <w:p>
      <w:r>
        <w:t>Detta klagomål behandlar höga naturvärden i avverkningsanmälan A 15523-2026 i Lekebergs kommun som inkom 2026-03-25 och omfattar 3,7 ha.</w:t>
      </w:r>
    </w:p>
    <w:p>
      <w:pPr>
        <w:pStyle w:val="Caption"/>
      </w:pPr>
      <w:r>
        <w:drawing>
          <wp:inline xmlns:a="http://schemas.openxmlformats.org/drawingml/2006/main" xmlns:pic="http://schemas.openxmlformats.org/drawingml/2006/picture">
            <wp:extent cx="5486400" cy="4747338"/>
            <wp:docPr id="1" name="Picture 1"/>
            <wp:cNvGraphicFramePr>
              <a:graphicFrameLocks noChangeAspect="1"/>
            </wp:cNvGraphicFramePr>
            <a:graphic>
              <a:graphicData uri="http://schemas.openxmlformats.org/drawingml/2006/picture">
                <pic:pic>
                  <pic:nvPicPr>
                    <pic:cNvPr id="0" name="A 15523-2026 karta.png"/>
                    <pic:cNvPicPr/>
                  </pic:nvPicPr>
                  <pic:blipFill>
                    <a:blip r:embed="rId16"/>
                    <a:stretch>
                      <a:fillRect/>
                    </a:stretch>
                  </pic:blipFill>
                  <pic:spPr>
                    <a:xfrm>
                      <a:off x="0" y="0"/>
                      <a:ext cx="5486400" cy="47473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6569455, E 488309 i SWEREF 99 TM.</w:t>
      </w:r>
    </w:p>
    <w:p>
      <w:r>
        <w:t>I avverkningsanmälan finns fynd av 2 naturvårdsarter, varav 1 är typisk (T) och 2 är signalarter (S): Thymalus limbatus (S) och vanlig flatbagge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Thymalus limbatus</w:t>
      </w:r>
      <w:r>
        <w:rPr>
          <w:b/>
        </w:rPr>
        <w:t xml:space="preserve"> </w:t>
      </w:r>
      <w:r>
        <w:t>är en flatbagge vars larvutveckling sker i mycelhaltig bark och ved i grenar, stammar och lågor av olika barr- och lövträd. Främst utnyttjas tall och gran med klibbticka, björk med fnöskticka eller björkticka och bok med fnöskticka. Arten påverkas negativt av brist på kontinuitetsskog och det föreligger indikation på eller misstanke om populationsminskning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