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och inom 11 meter från avverkningsanmälan finns fynd av 8 naturvårdsarter, varav 4 är rödlistade, 6 är fridlysta, 4 är typiska (T) och 1 är signalart (S): bivråk (NT, §4), entita (NT, T, §4), grantaggsvamp (NT), talltita (NT, §4), vedticka (S, T), spillkråka (T, §4), tofsmes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