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41241-2024 i Lekebergs kommun</w:t>
      </w:r>
    </w:p>
    <w:p>
      <w:r>
        <w:t>Detta dokument behandlar höga naturvärden i avverkningsanmälan A 41241-2024 i Lekebergs kommun. Denna avverkningsanmälan inkom 2024-09-24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rökfingersvamp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1241-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6549713, E 489574 i SWEREF 99 TM.</w:t>
      </w:r>
    </w:p>
    <w:p>
      <w:r>
        <w:rPr>
          <w:b/>
        </w:rPr>
        <w:t xml:space="preserve">Rökfingersvamp (NT) </w:t>
      </w:r>
      <w:r>
        <w:t>förekommer på kalkrik mark, bland mossa och låg gräsvegetation i naturbetesmark, hackslåttmark, lund och ädellövskog. Alla kvarvarande betes- och slåttermarker där arten förekommer bör bevaras och hävdas på traditionellt sätt. Gödsling får ej förekomma. Där arten förekommer i skogsmark bör storskaligt skogsbruk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