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41241-2024 i Lekebergs kommun</w:t>
      </w:r>
    </w:p>
    <w:p>
      <w:r>
        <w:t>Denna tillsynsbegäran behandlar höga naturvärden i avverkningsanmälan A 41241-2024 i Lekebergs kommun som inkom 2024-09-24 och omfattar 3,0 ha.</w:t>
      </w:r>
    </w:p>
    <w:p>
      <w:pPr>
        <w:pStyle w:val="Caption"/>
      </w:pPr>
      <w:r>
        <w:drawing>
          <wp:inline xmlns:a="http://schemas.openxmlformats.org/drawingml/2006/main" xmlns:pic="http://schemas.openxmlformats.org/drawingml/2006/picture">
            <wp:extent cx="5486400" cy="5293576"/>
            <wp:docPr id="1" name="Picture 1"/>
            <wp:cNvGraphicFramePr>
              <a:graphicFrameLocks noChangeAspect="1"/>
            </wp:cNvGraphicFramePr>
            <a:graphic>
              <a:graphicData uri="http://schemas.openxmlformats.org/drawingml/2006/picture">
                <pic:pic>
                  <pic:nvPicPr>
                    <pic:cNvPr id="0" name="A 41241-2024 karta.png"/>
                    <pic:cNvPicPr/>
                  </pic:nvPicPr>
                  <pic:blipFill>
                    <a:blip r:embed="rId16"/>
                    <a:stretch>
                      <a:fillRect/>
                    </a:stretch>
                  </pic:blipFill>
                  <pic:spPr>
                    <a:xfrm>
                      <a:off x="0" y="0"/>
                      <a:ext cx="5486400" cy="52935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6549713, E 489574 i SWEREF 99 TM.</w:t>
      </w:r>
    </w:p>
    <w:p>
      <w:r>
        <w:t>I avverkningsanmälan finns fynd av 1 naturvårdsarter, varav 1 är rödlistad: rökfingersvamp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Rökfingersvamp (NT) </w:t>
      </w:r>
      <w:r>
        <w:t>förekommer på kalkrik mark, bland mossa och låg gräsvegetation i naturbetesmark, hackslåttmark, lund och ädellövskog. Alla kvarvarande betes- och slåttermarker där arten förekommer bör bevaras och hävdas på traditionellt sätt. Gödsling får ej förekomma. Där arten förekommer i skogsmark bör storskaligt skogsbruk undvikas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