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323-2026 i Lekebergs kommun</w:t>
      </w:r>
    </w:p>
    <w:p>
      <w:r>
        <w:t>Denna tillsynsbegäran behandlar höga naturvärden i samrådsanmälan S 323-2026 i Lekebergs kommun som inkom 2026-02-06 och omfattar 1,2 ha.</w:t>
      </w:r>
    </w:p>
    <w:p>
      <w:pPr>
        <w:pStyle w:val="Caption"/>
      </w:pPr>
      <w:r>
        <w:drawing>
          <wp:inline xmlns:a="http://schemas.openxmlformats.org/drawingml/2006/main" xmlns:pic="http://schemas.openxmlformats.org/drawingml/2006/picture">
            <wp:extent cx="5486400" cy="5081047"/>
            <wp:docPr id="1" name="Picture 1"/>
            <wp:cNvGraphicFramePr>
              <a:graphicFrameLocks noChangeAspect="1"/>
            </wp:cNvGraphicFramePr>
            <a:graphic>
              <a:graphicData uri="http://schemas.openxmlformats.org/drawingml/2006/picture">
                <pic:pic>
                  <pic:nvPicPr>
                    <pic:cNvPr id="0" name="S 323-2026 karta.png"/>
                    <pic:cNvPicPr/>
                  </pic:nvPicPr>
                  <pic:blipFill>
                    <a:blip r:embed="rId16"/>
                    <a:stretch>
                      <a:fillRect/>
                    </a:stretch>
                  </pic:blipFill>
                  <pic:spPr>
                    <a:xfrm>
                      <a:off x="0" y="0"/>
                      <a:ext cx="5486400" cy="5081047"/>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6569712, E 491397 i SWEREF 99 TM.</w:t>
      </w:r>
    </w:p>
    <w:p>
      <w:r>
        <w:t>I och inom 23 meter från samrådsanmälan finns fynd av 5 naturvårdsarter, varav 3 är rödlistade, 2 är typiska (T) och 2 är signalarter (S): ask (EN), prakttagging (EN, T), svinrot (NT), blanksvart trämyra (S) och vätteros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Prakttagging (EN)</w:t>
      </w:r>
      <w:r>
        <w:t xml:space="preserve">, rödlistad som starkt hotad, är en karaktärssvamp för slutna almlundar på mulljordar, där den växer på döda, kullfallna eller ännu stående almar, sällan även på ask och hassel. Den behöver kontinuerlig tillgång till döda träd i slutna bestånd och den växer inte på döda almar i parker och liknande öppna eller halvöppna miljöer. Lokaler där svampen finns måste undantas från skogsbruk. Även röjning, städning och avverkning i närheten av lokalerna utgör ett hot då det leder till att substratbrist uppstår. Arten är placerad högst upp i Skogsstyrelsens värdepyramid för bedömning av skog med höga naturvärden. Prakttagging är typisk art för </w:t>
      </w:r>
      <w:r>
        <w:rPr>
          <w:i/>
        </w:rPr>
        <w:t>9020 Nordlig ädellövskog</w:t>
      </w:r>
      <w:r>
        <w:t xml:space="preserve"> (SLU Artdatabanken, 2024; Nitare &amp; Skogsstyrelsen, 2019).</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