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15523-2026 i Lekebergs kommun</w:t>
      </w:r>
    </w:p>
    <w:p>
      <w:r>
        <w:t>Detta dokument behandlar höga naturvärden i avverkningsanmälan A 15523-2026 i Lekebergs kommun som inkom 2026-03-25 och omfattar 3,7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47338"/>
            <wp:docPr id="1" name="Picture 1"/>
            <wp:cNvGraphicFramePr>
              <a:graphicFrameLocks noChangeAspect="1"/>
            </wp:cNvGraphicFramePr>
            <a:graphic>
              <a:graphicData uri="http://schemas.openxmlformats.org/drawingml/2006/picture">
                <pic:pic>
                  <pic:nvPicPr>
                    <pic:cNvPr id="0" name="A 15523-2026 karta.png"/>
                    <pic:cNvPicPr/>
                  </pic:nvPicPr>
                  <pic:blipFill>
                    <a:blip r:embed="rId16"/>
                    <a:stretch>
                      <a:fillRect/>
                    </a:stretch>
                  </pic:blipFill>
                  <pic:spPr>
                    <a:xfrm>
                      <a:off x="0" y="0"/>
                      <a:ext cx="5486400" cy="4747338"/>
                    </a:xfrm>
                    <a:prstGeom prst="rect"/>
                  </pic:spPr>
                </pic:pic>
              </a:graphicData>
            </a:graphic>
          </wp:inline>
        </w:drawing>
      </w:r>
    </w:p>
    <w:p>
      <w:pPr>
        <w:pStyle w:val="Caption"/>
        <w:spacing w:after="240"/>
      </w:pPr>
      <w:r>
        <w:t>Figur 1. Fyndplatser för naturvårdsarter i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6569455, E 488309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Thymalus limbatus (S) och vanlig flatbagge (S, T). Arter som är signalarter enligt Skogsstyrelsen har markerats med (S). Typiska arter inom Natura 2000 som är kopplade till skogsekosystem har markerats med (T).</w:t>
      </w:r>
    </w:p>
    <w:p>
      <w:r>
        <w:t>De påträffade naturvårdsarterna är ett tydligt kvitto på att det rör sig om en skog med höga naturvärden.</w:t>
      </w:r>
    </w:p>
    <w:p>
      <w:r>
        <w:rPr>
          <w:b/>
          <w:i/>
        </w:rPr>
        <w:t>Thymalus limbatus</w:t>
      </w:r>
      <w:r>
        <w:rPr>
          <w:b/>
        </w:rPr>
        <w:t xml:space="preserve"> </w:t>
      </w:r>
      <w:r>
        <w:t>är en flatbagge vars larvutveckling sker i mycelhaltig bark och ved i grenar, stammar och lågor av olika barr- och lövträd. Främst utnyttjas tall och gran med klibbticka, björk med fnöskticka eller björkticka och bok med fnöskticka. Arten påverkas negativt av brist på kontinuitetsskog och det föreligger indikation på eller misstanke om populationsminskning (SLU Artdatabanken, 2025).</w:t>
      </w:r>
    </w:p>
    <w:p>
      <w:r>
        <w:rPr>
          <w:b/>
        </w:rPr>
        <w:t>Vanlig flatbagge</w:t>
      </w:r>
      <w:r>
        <w:t xml:space="preserve"> är en skalbagge vars larvutveckling sker i brunrötad ved av tall och gran, i mindre omfattning lövträd som al, asp och björk. Främst i lågor med klibbticka, timmerticka eller citronticka. Vanlig flatbagge är typisk art för </w:t>
      </w:r>
      <w:r>
        <w:rPr>
          <w:i/>
        </w:rPr>
        <w:t xml:space="preserve">9060 Åsbarrskog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