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65832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6583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62 naturvårdsarter, varav 25 är rödlistade, 26 är fridlysta, 33 är typiska (T) och 21 är signalarter (S): pärluggla (EN, T, §4), sammetstaggsvamp (EN), skogsalm (EN), violgubbe (EN), gul taggsvamp (VU, T), björktrast (NT, §4), dofttaggsvamp (NT, T), dropptaggsvamp (NT, T), duvhök (NT, §4), fjällig taggsvamp s.str. (NT), gullklöver (NT), jungfrulin (NT), kattfotslav (NT, T), kricka (NT, §4), kungsörn (NT, §4), mindre hackspett (NT, T, §4), motaggsvamp (NT, T),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kungsfågel (§4), orre (§4), smålom (§4), sångsvan (§4),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