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18391-2023 i Laxå kommun</w:t>
      </w:r>
    </w:p>
    <w:p>
      <w:r>
        <w:t>Detta dokument behandlar höga naturvärden i avverkningsanmälan A 18391-2023 i Laxå kommun. Denna avverkningsanmälan inkom 2023-04-26 och omfattar 19,1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spillkråka (NT, §4) och tjäder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767345"/>
            <wp:docPr id="1" name="Picture 1"/>
            <wp:cNvGraphicFramePr>
              <a:graphicFrameLocks noChangeAspect="1"/>
            </wp:cNvGraphicFramePr>
            <a:graphic>
              <a:graphicData uri="http://schemas.openxmlformats.org/drawingml/2006/picture">
                <pic:pic>
                  <pic:nvPicPr>
                    <pic:cNvPr id="0" name="A 18391-2023 karta.png"/>
                    <pic:cNvPicPr/>
                  </pic:nvPicPr>
                  <pic:blipFill>
                    <a:blip r:embed="rId16"/>
                    <a:stretch>
                      <a:fillRect/>
                    </a:stretch>
                  </pic:blipFill>
                  <pic:spPr>
                    <a:xfrm>
                      <a:off x="0" y="0"/>
                      <a:ext cx="5486400" cy="776734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6543909, E 468964 i SWEREF 99 TM.</w:t>
      </w:r>
    </w:p>
    <w:p>
      <w:pPr>
        <w:pStyle w:val="Heading1"/>
      </w:pPr>
      <w:r>
        <w:t>Fridlysta arter</w:t>
      </w:r>
    </w:p>
    <w:p>
      <w:r>
        <w:t>Följande fridlysta arter har sina livsmiljöer och växtplatser i den avverkningsanmälda skogen: spillkråka (NT, §4) och tjäder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Spillkråka (NT, §4)</w:t>
      </w:r>
      <w:r>
        <w:t xml:space="preserve"> är rödlistad som nära hotad och ingår i bilaga 1 i EU:s fågeldirektiv. Den minskar i population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(SLU Artdatabanken, 2023).</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Spillkråka (NT) är rödlistad som nära hotad, fridlyst enligt §4 Artskyddsförordningen och ingår i bilaga 1 i EU:s fågeldirektiv. Spillkråka lever i både barr- och blandskog liksom i ren lövskog. De tätaste populationerna tenderar att finnas i äldre, variationsrik blandskog med gott om död ved och gamla träd.</w:t>
      </w:r>
    </w:p>
    <w:p>
      <w:r>
        <w:t>Varje par utnyttjar 400–1000 hektar skog beroende på skogens kvalitet. En minskning av populationen pågår på grund av minskad tillgång på lämpliga bo- och födoträd och minskad födotillgång. Spillkråkans minskningstakt har uppgått till 19 (24–10) % under de senaste 15 åren. Minskningstakten för den svenska populationen bedöms vara nära gränsvärdet för Sårbar (VU) (A2bc). Skogsbruk med korta omloppstider och täta, homogena ungskogar utgör det största hotet (Artdatabanken 2023).</w:t>
      </w:r>
    </w:p>
    <w:p>
      <w:pPr>
        <w:pStyle w:val="Heading2"/>
      </w:pPr>
      <w:r>
        <w:t>Referenser – spillkråka</w:t>
      </w:r>
    </w:p>
    <w:p>
      <w:r>
        <w:t xml:space="preserve">SLU Artdatabanken, 2021. </w:t>
      </w:r>
      <w:r>
        <w:rPr>
          <w:i/>
        </w:rPr>
        <w:t xml:space="preserve">Artfaktablad. Naturvård – artfakta. </w:t>
      </w:r>
      <w:r>
        <w:t>SLU Artdatabanken, Uppsala</w:t>
      </w:r>
    </w:p>
    <w:p>
      <w:pPr>
        <w:pStyle w:val="Heading1"/>
      </w:pPr>
      <w:r>
        <w:t>Tjäder – ekologi samt krav på livsmiljön</w:t>
      </w:r>
    </w:p>
    <w:p>
      <w:r>
        <w:t>Tjäder (§4)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w:t>
      </w:r>
    </w:p>
    <w:p>
      <w:pPr>
        <w:pStyle w:val="Heading2"/>
      </w:pPr>
      <w:r>
        <w:t>Referenser – tjäder</w:t>
      </w:r>
    </w:p>
    <w:p>
      <w:r>
        <w:t xml:space="preserve">Skogsstyrelsen, 2019. </w:t>
      </w:r>
      <w:r>
        <w:rPr>
          <w:i/>
        </w:rPr>
        <w:t xml:space="preserve">Vägledning för hänsyn till fåglar – tjäder. </w:t>
      </w:r>
      <w:r>
        <w:t>https://www.skogsstyrelsen.se/globalassets/lag-och-tillsyn/artskydd/vagledningar-for-hansyn-till-faglar/tjader-vagledning-hansyn2.pdf</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2025-02-06</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